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val="en-US"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询价通知书示范文本（货物类）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2"/>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lang w:val="en-US" w:eastAsia="zh-CN"/>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16933"/>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询价小组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5"/>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_Toc17729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询价邀请</w:t>
      </w:r>
      <w:r>
        <w:tab/>
      </w:r>
      <w:r>
        <w:fldChar w:fldCharType="begin"/>
      </w:r>
      <w:r>
        <w:instrText xml:space="preserve"> PAGEREF _Toc17729 \h </w:instrText>
      </w:r>
      <w:r>
        <w:fldChar w:fldCharType="separate"/>
      </w:r>
      <w:r>
        <w:t>1</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_Toc3199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_Toc3199 \h </w:instrText>
      </w:r>
      <w:r>
        <w:fldChar w:fldCharType="separate"/>
      </w:r>
      <w:r>
        <w:t>3</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_Toc1471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_Toc1471 \h </w:instrText>
      </w:r>
      <w:r>
        <w:fldChar w:fldCharType="separate"/>
      </w:r>
      <w:r>
        <w:t>15</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_Toc15765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_Toc15765 \h </w:instrText>
      </w:r>
      <w:r>
        <w:fldChar w:fldCharType="separate"/>
      </w:r>
      <w:r>
        <w:t>17</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_Toc5156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_Toc5156 \h </w:instrText>
      </w:r>
      <w:r>
        <w:fldChar w:fldCharType="separate"/>
      </w:r>
      <w:r>
        <w:t>20</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_Toc29013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第六章  响应文件格式</w:t>
      </w:r>
      <w:bookmarkStart w:id="278" w:name="_GoBack"/>
      <w:bookmarkEnd w:id="278"/>
      <w:r>
        <w:tab/>
      </w:r>
      <w:r>
        <w:fldChar w:fldCharType="begin"/>
      </w:r>
      <w:r>
        <w:instrText xml:space="preserve"> PAGEREF _Toc29013 \h </w:instrText>
      </w:r>
      <w:r>
        <w:fldChar w:fldCharType="separate"/>
      </w:r>
      <w:r>
        <w:t>29</w:t>
      </w:r>
      <w:r>
        <w:fldChar w:fldCharType="end"/>
      </w:r>
      <w:r>
        <w:rPr>
          <w:rFonts w:asciiTheme="minorEastAsia" w:hAnsiTheme="minorEastAsia" w:eastAsiaTheme="minorEastAsia"/>
          <w:bCs/>
          <w:color w:val="auto"/>
          <w:szCs w:val="24"/>
          <w:highlight w:val="none"/>
        </w:rPr>
        <w:fldChar w:fldCharType="end"/>
      </w:r>
    </w:p>
    <w:p>
      <w:pPr>
        <w:pStyle w:val="15"/>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_Toc1141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eastAsia="zh-CN"/>
        </w:rPr>
        <w:t>七</w:t>
      </w:r>
      <w:r>
        <w:rPr>
          <w:rFonts w:hint="eastAsia" w:asciiTheme="minorEastAsia" w:hAnsiTheme="minorEastAsia" w:eastAsiaTheme="minorEastAsia"/>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_Toc1141 \h </w:instrText>
      </w:r>
      <w:r>
        <w:fldChar w:fldCharType="separate"/>
      </w:r>
      <w:r>
        <w:t>44</w:t>
      </w:r>
      <w:r>
        <w:fldChar w:fldCharType="end"/>
      </w:r>
      <w:r>
        <w:rPr>
          <w:rFonts w:asciiTheme="minorEastAsia" w:hAnsiTheme="minorEastAsia" w:eastAsiaTheme="minorEastAsia"/>
          <w:bCs/>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7729"/>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询价邀请</w:t>
      </w:r>
      <w:bookmarkEnd w:id="4"/>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5" w:name="_Toc12934"/>
      <w:bookmarkStart w:id="6" w:name="_Toc12227"/>
      <w:r>
        <w:rPr>
          <w:rFonts w:hint="eastAsia" w:asciiTheme="minorEastAsia" w:hAnsiTheme="minorEastAsia" w:eastAsiaTheme="minorEastAsia"/>
          <w:b/>
          <w:bCs/>
          <w:color w:val="auto"/>
          <w:sz w:val="24"/>
          <w:szCs w:val="18"/>
          <w:highlight w:val="none"/>
        </w:rPr>
        <w:t>一、</w:t>
      </w:r>
      <w:bookmarkEnd w:id="5"/>
      <w:r>
        <w:rPr>
          <w:rFonts w:hint="eastAsia" w:asciiTheme="minorEastAsia" w:hAnsiTheme="minorEastAsia" w:eastAsiaTheme="minor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15751"/>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4.最高限价（如有）：</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8" w:name="_Toc12459"/>
      <w:r>
        <w:rPr>
          <w:rFonts w:hint="eastAsia" w:asciiTheme="minorEastAsia" w:hAnsiTheme="minorEastAsia" w:eastAsiaTheme="minorEastAsia"/>
          <w:b/>
          <w:bCs/>
          <w:color w:val="auto"/>
          <w:sz w:val="24"/>
          <w:szCs w:val="18"/>
          <w:highlight w:val="none"/>
        </w:rPr>
        <w:t>二、</w:t>
      </w:r>
      <w:bookmarkEnd w:id="7"/>
      <w:r>
        <w:rPr>
          <w:rFonts w:hint="eastAsia" w:asciiTheme="minorEastAsia" w:hAnsiTheme="minorEastAsia" w:eastAsiaTheme="minorEastAsia"/>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55"/>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采购。即：提供的货物全部由符合政策要求的中小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小微企业制造。</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0" w:name="_Toc35393608"/>
      <w:bookmarkStart w:id="11" w:name="_Toc35393777"/>
      <w:bookmarkStart w:id="12" w:name="_Toc22747"/>
      <w:bookmarkStart w:id="13" w:name="_Toc28887"/>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bCs/>
          <w:color w:val="auto"/>
          <w:sz w:val="24"/>
          <w:szCs w:val="18"/>
          <w:highlight w:val="none"/>
          <w:lang w:eastAsia="zh-CN"/>
        </w:rPr>
        <w:t>获取采购</w:t>
      </w:r>
      <w:r>
        <w:rPr>
          <w:rFonts w:hint="eastAsia" w:asciiTheme="minorEastAsia" w:hAnsiTheme="minorEastAsia" w:eastAsiaTheme="minorEastAsia"/>
          <w:b/>
          <w:bCs/>
          <w:color w:val="auto"/>
          <w:sz w:val="24"/>
          <w:szCs w:val="18"/>
          <w:highlight w:val="none"/>
        </w:rPr>
        <w:t>文件</w:t>
      </w:r>
      <w:bookmarkEnd w:id="10"/>
      <w:bookmarkEnd w:id="11"/>
      <w:bookmarkEnd w:id="12"/>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宋体" w:hAnsi="宋体" w:eastAsia="宋体" w:cs="宋体"/>
          <w:b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3"/>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4" w:name="_Toc28359015"/>
      <w:bookmarkStart w:id="15" w:name="_Toc35393801"/>
      <w:bookmarkStart w:id="16" w:name="_Toc35393632"/>
      <w:bookmarkStart w:id="17" w:name="_Toc28359092"/>
      <w:bookmarkStart w:id="18" w:name="_Toc23298"/>
      <w:bookmarkStart w:id="19" w:name="_Toc9537"/>
      <w:r>
        <w:rPr>
          <w:rFonts w:hint="eastAsia" w:asciiTheme="minorEastAsia" w:hAnsiTheme="minorEastAsia" w:eastAsiaTheme="minorEastAsia"/>
          <w:b/>
          <w:bCs/>
          <w:color w:val="auto"/>
          <w:sz w:val="24"/>
          <w:szCs w:val="18"/>
          <w:highlight w:val="none"/>
        </w:rPr>
        <w:t>四、响应文件提交</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sz w:val="24"/>
          <w:szCs w:val="24"/>
          <w:u w:val="none"/>
        </w:rPr>
      </w:pPr>
      <w:r>
        <w:rPr>
          <w:rFonts w:hint="eastAsia" w:ascii="宋体" w:hAnsi="宋体" w:eastAsia="宋体" w:cs="宋体"/>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宋体" w:hAnsi="宋体" w:eastAsia="宋体" w:cs="宋体"/>
          <w:bCs/>
          <w:sz w:val="24"/>
          <w:szCs w:val="24"/>
        </w:rPr>
        <w:t>（北京时间）</w:t>
      </w:r>
      <w:r>
        <w:rPr>
          <w:rFonts w:hint="eastAsia" w:asciiTheme="minorEastAsia" w:hAnsiTheme="minorEastAsia" w:eastAsiaTheme="minorEastAsia" w:cstheme="minorEastAsia"/>
          <w:i/>
          <w:sz w:val="24"/>
          <w:szCs w:val="24"/>
          <w:u w:val="none"/>
        </w:rPr>
        <w:t>（从询价通知书开始发出之日起至供应商提交响应文件截止之日止不得少于3个工作日）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bookmarkStart w:id="20" w:name="_Toc28359093"/>
      <w:bookmarkStart w:id="21" w:name="_Toc35393802"/>
      <w:bookmarkStart w:id="22" w:name="_Toc35393633"/>
      <w:bookmarkStart w:id="23" w:name="_Toc28359016"/>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4" w:name="_Toc12821"/>
      <w:r>
        <w:rPr>
          <w:rFonts w:hint="eastAsia" w:asciiTheme="minorEastAsia" w:hAnsiTheme="minorEastAsia" w:eastAsiaTheme="minorEastAsia"/>
          <w:b/>
          <w:bCs/>
          <w:color w:val="auto"/>
          <w:sz w:val="24"/>
          <w:szCs w:val="18"/>
          <w:highlight w:val="none"/>
        </w:rPr>
        <w:t>五、开启</w:t>
      </w:r>
      <w:bookmarkEnd w:id="20"/>
      <w:bookmarkEnd w:id="21"/>
      <w:bookmarkEnd w:id="22"/>
      <w:bookmarkEnd w:id="23"/>
      <w:bookmarkEnd w:id="24"/>
    </w:p>
    <w:p>
      <w:pPr>
        <w:ind w:firstLine="480" w:firstLineChars="200"/>
        <w:rPr>
          <w:rFonts w:ascii="仿宋" w:hAnsi="仿宋" w:eastAsia="仿宋"/>
          <w:bCs/>
          <w:sz w:val="28"/>
          <w:szCs w:val="28"/>
          <w:u w:val="single"/>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5" w:name="_Toc35393803"/>
      <w:bookmarkStart w:id="26" w:name="_Toc28359017"/>
      <w:bookmarkStart w:id="27" w:name="_Toc28359094"/>
      <w:bookmarkStart w:id="28" w:name="_Toc35393634"/>
      <w:bookmarkStart w:id="29" w:name="_Toc27442"/>
      <w:r>
        <w:rPr>
          <w:rFonts w:hint="eastAsia" w:asciiTheme="minorEastAsia" w:hAnsiTheme="minorEastAsia" w:eastAsiaTheme="minorEastAsia"/>
          <w:b/>
          <w:bCs/>
          <w:color w:val="auto"/>
          <w:sz w:val="24"/>
          <w:szCs w:val="18"/>
          <w:highlight w:val="none"/>
        </w:rPr>
        <w:t>六、公告期限</w:t>
      </w:r>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自本公告发布之日起3个工作日。</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30" w:name="_Toc35393804"/>
      <w:bookmarkStart w:id="31" w:name="_Toc35393635"/>
      <w:bookmarkStart w:id="32" w:name="_Toc16395"/>
      <w:r>
        <w:rPr>
          <w:rFonts w:hint="eastAsia" w:asciiTheme="minorEastAsia" w:hAnsiTheme="minorEastAsia" w:eastAsiaTheme="minorEastAsia"/>
          <w:b/>
          <w:bCs/>
          <w:color w:val="auto"/>
          <w:sz w:val="24"/>
          <w:szCs w:val="18"/>
          <w:highlight w:val="none"/>
        </w:rPr>
        <w:t>七、其他补充事宜</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inorEastAsia" w:hAnsiTheme="minorEastAsia" w:eastAsiaTheme="minorEastAsia"/>
          <w:b/>
          <w:bCs/>
          <w:color w:val="auto"/>
          <w:sz w:val="24"/>
          <w:szCs w:val="18"/>
          <w:highlight w:val="none"/>
          <w:lang w:val="en-US" w:eastAsia="zh-CN"/>
        </w:rPr>
      </w:pPr>
      <w:bookmarkStart w:id="33" w:name="_Toc20318"/>
      <w:r>
        <w:rPr>
          <w:rFonts w:hint="eastAsia" w:asciiTheme="minorEastAsia" w:hAnsiTheme="minorEastAsia" w:eastAsiaTheme="minorEastAsia"/>
          <w:b/>
          <w:bCs/>
          <w:color w:val="auto"/>
          <w:sz w:val="24"/>
          <w:szCs w:val="18"/>
          <w:highlight w:val="none"/>
        </w:rPr>
        <w:t>八、凡对本次采购提出询问，请按以下方式联系</w:t>
      </w:r>
      <w:r>
        <w:rPr>
          <w:rFonts w:hint="eastAsia" w:asciiTheme="minorEastAsia" w:hAnsiTheme="minorEastAsia" w:eastAsiaTheme="minorEastAsia"/>
          <w:b/>
          <w:bCs/>
          <w:color w:val="auto"/>
          <w:sz w:val="24"/>
          <w:szCs w:val="18"/>
          <w:highlight w:val="none"/>
          <w:lang w:eastAsia="zh-CN"/>
        </w:rPr>
        <w:t>。</w:t>
      </w:r>
      <w:bookmarkEnd w:id="33"/>
    </w:p>
    <w:bookmarkEnd w:id="19"/>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4" w:name="_Toc31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34"/>
    </w:p>
    <w:p>
      <w:pPr>
        <w:spacing w:line="360" w:lineRule="auto"/>
        <w:jc w:val="center"/>
        <w:outlineLvl w:val="1"/>
        <w:rPr>
          <w:rFonts w:asciiTheme="minorEastAsia" w:hAnsiTheme="minorEastAsia" w:eastAsiaTheme="minorEastAsia"/>
          <w:b/>
          <w:color w:val="auto"/>
          <w:sz w:val="24"/>
          <w:highlight w:val="none"/>
        </w:rPr>
      </w:pPr>
      <w:bookmarkStart w:id="35" w:name="_Toc12172"/>
      <w:bookmarkStart w:id="36" w:name="_Toc557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35"/>
      <w:bookmarkEnd w:id="36"/>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20"/>
        <w:tblW w:w="51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2228"/>
        <w:gridCol w:w="6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7"/>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48" w:type="pct"/>
            <w:vAlign w:val="center"/>
          </w:tcPr>
          <w:p>
            <w:pPr>
              <w:pStyle w:val="27"/>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82" w:type="pct"/>
            <w:vAlign w:val="center"/>
          </w:tcPr>
          <w:p>
            <w:pPr>
              <w:pStyle w:val="27"/>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5</w:t>
            </w:r>
            <w:r>
              <w:rPr>
                <w:rFonts w:asciiTheme="minorEastAsia" w:hAnsiTheme="minorEastAsia" w:eastAsiaTheme="minorEastAsia"/>
                <w:bCs/>
                <w:color w:val="auto"/>
                <w:kern w:val="2"/>
                <w:highlight w:val="none"/>
              </w:rPr>
              <w:t>.3</w:t>
            </w:r>
          </w:p>
        </w:tc>
        <w:tc>
          <w:tcPr>
            <w:tcW w:w="1148" w:type="pct"/>
            <w:vAlign w:val="center"/>
          </w:tcPr>
          <w:p>
            <w:pPr>
              <w:pStyle w:val="27"/>
              <w:widowControl w:val="0"/>
              <w:spacing w:before="0" w:beforeAutospacing="0" w:after="0" w:afterAutospacing="0"/>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现场考察</w:t>
            </w:r>
          </w:p>
        </w:tc>
        <w:tc>
          <w:tcPr>
            <w:tcW w:w="3282"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color w:val="auto"/>
                <w:sz w:val="24"/>
                <w:highlight w:val="none"/>
              </w:rPr>
              <w:t>不组织，供应商</w:t>
            </w:r>
            <w:r>
              <w:rPr>
                <w:rFonts w:hint="eastAsia" w:asciiTheme="minorEastAsia" w:hAnsiTheme="minorEastAsia" w:eastAsiaTheme="minorEastAsia"/>
                <w:bCs/>
                <w:color w:val="auto"/>
                <w:sz w:val="24"/>
                <w:highlight w:val="none"/>
              </w:rPr>
              <w:t>自行考察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bCs/>
                <w:color w:val="auto"/>
                <w:sz w:val="24"/>
                <w:highlight w:val="none"/>
              </w:rPr>
              <w:t>统一组织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时间：</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rPr>
              <w:t>年</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rPr>
              <w:t>月</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rPr>
              <w:t>日</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rPr>
              <w:t>时</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地点：</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现场考察联系人及联系电话：</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Cs w:val="0"/>
                <w:color w:val="auto"/>
                <w:sz w:val="24"/>
                <w:highlight w:val="none"/>
                <w:lang w:eastAsia="zh-CN"/>
              </w:rPr>
              <w:t>注：</w:t>
            </w:r>
            <w:r>
              <w:rPr>
                <w:rFonts w:hint="eastAsia" w:asciiTheme="minorEastAsia" w:hAnsiTheme="minorEastAsia" w:eastAsiaTheme="minorEastAsia"/>
                <w:bCs w:val="0"/>
                <w:color w:val="auto"/>
                <w:sz w:val="24"/>
                <w:highlight w:val="none"/>
              </w:rPr>
              <w:t>如供应商未参加采购人统一组织的现场考察，视同放弃现场考察，由此引起的一切责任由供应商自行承担。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6</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网上询问截止时间</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年</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月</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日</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时</w:t>
            </w:r>
            <w:r>
              <w:rPr>
                <w:rFonts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restar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7</w:t>
            </w:r>
            <w:r>
              <w:rPr>
                <w:rFonts w:asciiTheme="minorEastAsia" w:hAnsiTheme="minorEastAsia" w:eastAsiaTheme="minorEastAsia"/>
                <w:bCs/>
                <w:color w:val="auto"/>
                <w:kern w:val="2"/>
                <w:highlight w:val="none"/>
              </w:rPr>
              <w:t>.1</w:t>
            </w:r>
          </w:p>
        </w:tc>
        <w:tc>
          <w:tcPr>
            <w:tcW w:w="1148" w:type="pct"/>
            <w:vMerge w:val="restart"/>
            <w:vAlign w:val="center"/>
          </w:tcPr>
          <w:p>
            <w:pPr>
              <w:pStyle w:val="27"/>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包别划分</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bCs w:val="0"/>
                <w:color w:val="auto"/>
                <w:sz w:val="24"/>
                <w:szCs w:val="24"/>
                <w:highlight w:val="none"/>
              </w:rPr>
              <w:t>□</w:t>
            </w:r>
            <w:r>
              <w:rPr>
                <w:rFonts w:asciiTheme="minorEastAsia" w:hAnsiTheme="minorEastAsia" w:eastAsiaTheme="minorEastAsia"/>
                <w:b w:val="0"/>
                <w:color w:val="auto"/>
                <w:sz w:val="24"/>
                <w:highlight w:val="none"/>
              </w:rPr>
              <w:t>不分包     □分为  个包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continue"/>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p>
        </w:tc>
        <w:tc>
          <w:tcPr>
            <w:tcW w:w="1148" w:type="pct"/>
            <w:vMerge w:val="continue"/>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供应商对多个包进行报价的成交</w:t>
            </w:r>
            <w:r>
              <w:rPr>
                <w:rFonts w:asciiTheme="minorEastAsia" w:hAnsiTheme="minorEastAsia" w:eastAsiaTheme="minorEastAsia"/>
                <w:b w:val="0"/>
                <w:color w:val="auto"/>
                <w:sz w:val="24"/>
                <w:highlight w:val="none"/>
              </w:rPr>
              <w:t>包</w:t>
            </w:r>
            <w:r>
              <w:rPr>
                <w:rFonts w:hint="eastAsia" w:asciiTheme="minorEastAsia" w:hAnsiTheme="minorEastAsia" w:eastAsiaTheme="minorEastAsia"/>
                <w:b w:val="0"/>
                <w:color w:val="auto"/>
                <w:sz w:val="24"/>
                <w:highlight w:val="none"/>
              </w:rPr>
              <w:t>数规定：</w:t>
            </w:r>
            <w:r>
              <w:rPr>
                <w:rFonts w:hint="eastAsia" w:asciiTheme="minorEastAsia" w:hAnsiTheme="minorEastAsia" w:eastAsiaTheme="minorEastAsia"/>
                <w:b w:val="0"/>
                <w:bCs w:val="0"/>
                <w:color w:val="auto"/>
                <w:sz w:val="24"/>
                <w:szCs w:val="18"/>
                <w:highlight w:val="none"/>
                <w:u w:val="single"/>
              </w:rPr>
              <w:t xml:space="preserve"> </w:t>
            </w:r>
            <w:r>
              <w:rPr>
                <w:rFonts w:asciiTheme="minorEastAsia" w:hAnsiTheme="minorEastAsia" w:eastAsiaTheme="minorEastAsia"/>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询价有效期</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11.2</w:t>
            </w:r>
          </w:p>
        </w:tc>
        <w:tc>
          <w:tcPr>
            <w:tcW w:w="1148" w:type="pct"/>
            <w:vAlign w:val="center"/>
          </w:tcPr>
          <w:p>
            <w:pPr>
              <w:pStyle w:val="27"/>
              <w:widowControl w:val="0"/>
              <w:spacing w:before="0" w:beforeAutospacing="0" w:after="0" w:afterAutospacing="0" w:line="360" w:lineRule="auto"/>
              <w:jc w:val="both"/>
              <w:rPr>
                <w:rFonts w:hint="eastAsia"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响应文件解密时间</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rPr>
              <w:t>响应文件提交截止时间后</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16</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rPr>
              <w:t>2</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确定成交供应商</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rPr>
            </w:pP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 xml:space="preserve">采购人委托询价小组确定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.3</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随成交</w:t>
            </w:r>
            <w:r>
              <w:rPr>
                <w:rFonts w:hint="eastAsia" w:asciiTheme="minorEastAsia" w:hAnsiTheme="minorEastAsia" w:eastAsiaTheme="minorEastAsia"/>
                <w:b w:val="0"/>
                <w:color w:val="auto"/>
                <w:sz w:val="24"/>
                <w:highlight w:val="none"/>
                <w:lang w:eastAsia="zh-CN"/>
              </w:rPr>
              <w:t>结果</w:t>
            </w:r>
            <w:r>
              <w:rPr>
                <w:rFonts w:hint="eastAsia" w:asciiTheme="minorEastAsia" w:hAnsiTheme="minorEastAsia" w:eastAsiaTheme="minorEastAsia"/>
                <w:b w:val="0"/>
                <w:color w:val="auto"/>
                <w:sz w:val="24"/>
                <w:highlight w:val="none"/>
              </w:rPr>
              <w:t>公告同时公告</w:t>
            </w:r>
            <w:r>
              <w:rPr>
                <w:rFonts w:hint="eastAsia" w:asciiTheme="minorEastAsia" w:hAnsiTheme="minorEastAsia" w:eastAsiaTheme="minorEastAsia"/>
                <w:b w:val="0"/>
                <w:color w:val="auto"/>
                <w:sz w:val="24"/>
                <w:highlight w:val="none"/>
                <w:lang w:eastAsia="zh-CN"/>
              </w:rPr>
              <w:t>的</w:t>
            </w:r>
            <w:r>
              <w:rPr>
                <w:rFonts w:hint="eastAsia" w:asciiTheme="minorEastAsia" w:hAnsiTheme="minorEastAsia" w:eastAsiaTheme="minorEastAsia"/>
                <w:b w:val="0"/>
                <w:color w:val="auto"/>
                <w:sz w:val="24"/>
                <w:highlight w:val="none"/>
              </w:rPr>
              <w:t>内容</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1</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中小企业声明函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i/>
                <w:iCs/>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2</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残疾人福利性单位声明函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eastAsia="宋体" w:asciiTheme="minorEastAsia" w:hAnsiTheme="minorEastAsia"/>
                <w:b w:val="0"/>
                <w:i/>
                <w:iCs/>
                <w:color w:val="auto"/>
                <w:sz w:val="24"/>
                <w:highlight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4</w:t>
            </w:r>
            <w:r>
              <w:rPr>
                <w:rFonts w:hint="eastAsia" w:asciiTheme="minorEastAsia" w:hAnsiTheme="minorEastAsia" w:eastAsiaTheme="minorEastAsia"/>
                <w:b w:val="0"/>
                <w:color w:val="auto"/>
                <w:sz w:val="24"/>
                <w:highlight w:val="none"/>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1</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成交通知书发出的形式</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 xml:space="preserve">□书面 </w:t>
            </w:r>
            <w:r>
              <w:rPr>
                <w:rFonts w:asciiTheme="minorEastAsia" w:hAnsiTheme="minorEastAsia" w:eastAsiaTheme="minorEastAsia"/>
                <w:b w:val="0"/>
                <w:color w:val="auto"/>
                <w:sz w:val="24"/>
                <w:highlight w:val="none"/>
              </w:rPr>
              <w:t xml:space="preserve">    </w:t>
            </w: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22.1</w:t>
            </w:r>
          </w:p>
        </w:tc>
        <w:tc>
          <w:tcPr>
            <w:tcW w:w="1148" w:type="pct"/>
            <w:vAlign w:val="center"/>
          </w:tcPr>
          <w:p>
            <w:pPr>
              <w:pStyle w:val="27"/>
              <w:widowControl w:val="0"/>
              <w:spacing w:before="0" w:beforeAutospacing="0" w:after="0" w:afterAutospacing="0" w:line="360" w:lineRule="auto"/>
              <w:jc w:val="both"/>
              <w:rPr>
                <w:rFonts w:hint="eastAsia" w:ascii="宋体" w:hAnsi="宋体" w:eastAsia="宋体" w:cstheme="minorBidi"/>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告知询价结果的形式</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询价现场告知</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3</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履约保证金</w:t>
            </w:r>
          </w:p>
        </w:tc>
        <w:tc>
          <w:tcPr>
            <w:tcW w:w="3282"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ascii="宋体" w:hAnsi="宋体" w:eastAsia="宋体"/>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ascii="宋体" w:hAnsi="宋体" w:eastAsia="宋体"/>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4</w:t>
            </w:r>
            <w:r>
              <w:rPr>
                <w:rFonts w:asciiTheme="minorEastAsia" w:hAnsiTheme="minorEastAsia" w:eastAsiaTheme="minorEastAsia"/>
                <w:bCs/>
                <w:color w:val="auto"/>
                <w:kern w:val="2"/>
                <w:highlight w:val="none"/>
              </w:rPr>
              <w:t>.1</w:t>
            </w:r>
          </w:p>
        </w:tc>
        <w:tc>
          <w:tcPr>
            <w:tcW w:w="1148" w:type="pct"/>
            <w:vAlign w:val="center"/>
          </w:tcPr>
          <w:p>
            <w:pPr>
              <w:pStyle w:val="27"/>
              <w:widowControl w:val="0"/>
              <w:spacing w:before="0" w:beforeAutospacing="0" w:after="0" w:afterAutospacing="0" w:line="360" w:lineRule="auto"/>
              <w:jc w:val="both"/>
              <w:rPr>
                <w:rFonts w:hint="default" w:asciiTheme="minorEastAsia" w:hAnsiTheme="minorEastAsia" w:eastAsiaTheme="minorEastAsia"/>
                <w:b w:val="0"/>
                <w:color w:val="auto"/>
                <w:sz w:val="24"/>
                <w:highlight w:val="none"/>
                <w:lang w:val="en-US" w:eastAsia="zh-CN"/>
              </w:rPr>
            </w:pPr>
            <w:r>
              <w:rPr>
                <w:rFonts w:hint="eastAsia" w:asciiTheme="minorEastAsia" w:hAnsiTheme="minorEastAsia" w:eastAsiaTheme="minorEastAsia"/>
                <w:b w:val="0"/>
                <w:color w:val="auto"/>
                <w:sz w:val="24"/>
                <w:highlight w:val="none"/>
                <w:lang w:val="en-US" w:eastAsia="zh-CN"/>
              </w:rPr>
              <w:t>代理费用</w:t>
            </w:r>
          </w:p>
        </w:tc>
        <w:tc>
          <w:tcPr>
            <w:tcW w:w="3282"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25.1</w:t>
            </w:r>
          </w:p>
        </w:tc>
        <w:tc>
          <w:tcPr>
            <w:tcW w:w="1148" w:type="pct"/>
            <w:vAlign w:val="center"/>
          </w:tcPr>
          <w:p>
            <w:pPr>
              <w:pStyle w:val="2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hint="eastAsia" w:asciiTheme="minorEastAsia" w:hAnsiTheme="minorEastAsia" w:eastAsiaTheme="minorEastAsia"/>
                <w:bCs/>
                <w:color w:val="auto"/>
                <w:kern w:val="2"/>
                <w:highlight w:val="none"/>
                <w:lang w:eastAsia="zh-CN"/>
              </w:rPr>
            </w:pPr>
            <w:r>
              <w:rPr>
                <w:rFonts w:hint="eastAsia" w:asciiTheme="minorEastAsia" w:hAnsiTheme="minorEastAsia" w:eastAsiaTheme="minorEastAsia"/>
                <w:bCs/>
                <w:color w:val="auto"/>
                <w:kern w:val="2"/>
                <w:highlight w:val="none"/>
                <w:lang w:val="en-US" w:eastAsia="zh-CN"/>
              </w:rPr>
              <w:t>27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lang w:val="en-US" w:eastAsia="zh-CN"/>
              </w:rPr>
              <w:t>3</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82"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28</w:t>
            </w:r>
          </w:p>
        </w:tc>
        <w:tc>
          <w:tcPr>
            <w:tcW w:w="1148"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其他内容</w:t>
            </w:r>
          </w:p>
        </w:tc>
        <w:tc>
          <w:tcPr>
            <w:tcW w:w="3282" w:type="pct"/>
            <w:vAlign w:val="center"/>
          </w:tcPr>
          <w:p>
            <w:pPr>
              <w:pStyle w:val="2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询价及响应文件提交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询价</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询价邀请、供应商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ind w:firstLine="437"/>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7" w:name="_Toc14682"/>
      <w:bookmarkStart w:id="38" w:name="_Toc29229"/>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供应商须知</w:t>
      </w:r>
      <w:r>
        <w:rPr>
          <w:rFonts w:hint="eastAsia" w:asciiTheme="minorEastAsia" w:hAnsiTheme="minorEastAsia" w:eastAsiaTheme="minorEastAsia"/>
          <w:b/>
          <w:color w:val="auto"/>
          <w:sz w:val="24"/>
          <w:highlight w:val="none"/>
        </w:rPr>
        <w:t>正文</w:t>
      </w:r>
      <w:bookmarkEnd w:id="37"/>
      <w:bookmarkEnd w:id="38"/>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.4供应商：是指向采购人提供货物、工程或者服务的法人、非法人组织或者自然人。</w:t>
      </w:r>
      <w:r>
        <w:rPr>
          <w:rFonts w:hint="eastAsia" w:asciiTheme="minorEastAsia" w:hAnsiTheme="minorEastAsia" w:eastAsiaTheme="minorEastAsia"/>
          <w:color w:val="auto"/>
          <w:sz w:val="24"/>
          <w:highlight w:val="none"/>
        </w:rPr>
        <w:t>分支机构不得参加政府采购活动，但银行、保险、石油石化、电力、电信等特殊行业除外。</w:t>
      </w:r>
      <w:r>
        <w:rPr>
          <w:rFonts w:asciiTheme="minorEastAsia" w:hAnsiTheme="minorEastAsia" w:eastAsiaTheme="minorEastAsia"/>
          <w:color w:val="auto"/>
          <w:sz w:val="24"/>
          <w:highlight w:val="none"/>
        </w:rPr>
        <w:t>本项目的供应商须满足以下条件：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以采购代理机构认可的方式获得了本项目的询价通知书。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asciiTheme="minorEastAsia" w:hAnsiTheme="minorEastAsia" w:eastAsiaTheme="minorEastAsia"/>
          <w:color w:val="auto"/>
          <w:sz w:val="24"/>
          <w:highlight w:val="none"/>
        </w:rPr>
        <w:t>中写明允许采购进口产品，供应商应保证所投产品可履行合法报通关手续进入中国关境内。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hint="eastAsia" w:asciiTheme="minorEastAsia" w:hAnsiTheme="minorEastAsia" w:eastAsiaTheme="minorEastAsia"/>
          <w:color w:val="auto"/>
          <w:sz w:val="24"/>
          <w:highlight w:val="none"/>
        </w:rPr>
        <w:t>中未写明允许采购进口产品，如供应商所投产品为进口产品，</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39" w:name="_Hlk60605411"/>
      <w:r>
        <w:rPr>
          <w:rFonts w:hint="eastAsia" w:ascii="宋体" w:hAnsi="宋体" w:eastAsia="宋体"/>
          <w:bCs/>
          <w:color w:val="auto"/>
          <w:kern w:val="0"/>
          <w:sz w:val="24"/>
          <w:szCs w:val="28"/>
          <w:highlight w:val="none"/>
          <w:lang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若询价公告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报价</w:t>
      </w:r>
      <w:r>
        <w:rPr>
          <w:rFonts w:ascii="宋体" w:hAnsi="宋体" w:eastAsia="宋体"/>
          <w:bCs/>
          <w:color w:val="auto"/>
          <w:kern w:val="0"/>
          <w:sz w:val="24"/>
          <w:szCs w:val="28"/>
          <w:highlight w:val="none"/>
        </w:rPr>
        <w:t>，对联合体规定如下：</w:t>
      </w:r>
    </w:p>
    <w:bookmarkEnd w:id="3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5.1两个以上供应商可以组成一个联合体，以一个供应商的身份</w:t>
      </w:r>
      <w:r>
        <w:rPr>
          <w:rFonts w:hint="eastAsia" w:asciiTheme="minorEastAsia" w:hAnsiTheme="minorEastAsia" w:eastAsiaTheme="minorEastAsia"/>
          <w:color w:val="auto"/>
          <w:sz w:val="24"/>
          <w:highlight w:val="none"/>
        </w:rPr>
        <w:t>参加政府采购</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5.2联合体各方均应符合《中华人民共和国政府采购法》第二十二条规定的条件。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5.3采购人根据采购项目对供应商的特殊要求，联合体中至少应当有一方符合相关规定。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5.4联合体各方应签订</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，明确约定联合体各方承担的工作和相应的责任，并将</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作为响应文件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一部分提交。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5.5大中型企业、其他自然人、法人或者非法人组织与小型、微型企业组成联合体共同参加</w:t>
      </w:r>
      <w:r>
        <w:rPr>
          <w:rFonts w:hint="eastAsia" w:asciiTheme="minorEastAsia" w:hAnsiTheme="minorEastAsia" w:eastAsiaTheme="minorEastAsia"/>
          <w:color w:val="auto"/>
          <w:sz w:val="24"/>
          <w:highlight w:val="none"/>
        </w:rPr>
        <w:t>政府采购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联合协议中</w:t>
      </w:r>
      <w:r>
        <w:rPr>
          <w:rFonts w:asciiTheme="minorEastAsia" w:hAnsiTheme="minorEastAsia" w:eastAsiaTheme="minorEastAsia"/>
          <w:color w:val="auto"/>
          <w:sz w:val="24"/>
          <w:highlight w:val="none"/>
        </w:rPr>
        <w:t>应写明小型、微型企业的协议合同金额占到</w:t>
      </w:r>
      <w:r>
        <w:rPr>
          <w:rFonts w:hint="eastAsia" w:asciiTheme="minorEastAsia" w:hAnsiTheme="minorEastAsia" w:eastAsiaTheme="minorEastAsia"/>
          <w:color w:val="auto"/>
          <w:sz w:val="24"/>
          <w:highlight w:val="none"/>
        </w:rPr>
        <w:t>联合协议合同</w:t>
      </w:r>
      <w:r>
        <w:rPr>
          <w:rFonts w:asciiTheme="minorEastAsia" w:hAnsiTheme="minorEastAsia" w:eastAsiaTheme="minorEastAsia"/>
          <w:color w:val="auto"/>
          <w:sz w:val="24"/>
          <w:highlight w:val="none"/>
        </w:rPr>
        <w:t>总金额的比例。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5.6</w:t>
      </w:r>
      <w:r>
        <w:rPr>
          <w:rFonts w:hint="eastAsia" w:asciiTheme="minorEastAsia" w:hAnsiTheme="minorEastAsia" w:eastAsiaTheme="minorEastAsia"/>
          <w:color w:val="auto"/>
          <w:sz w:val="24"/>
          <w:highlight w:val="none"/>
        </w:rPr>
        <w:t>联合体中有同类资质的供应商按照联合体分工承担相同工作的，</w:t>
      </w:r>
      <w:r>
        <w:rPr>
          <w:rFonts w:asciiTheme="minorEastAsia" w:hAnsiTheme="minorEastAsia" w:eastAsiaTheme="minorEastAsia"/>
          <w:color w:val="auto"/>
          <w:sz w:val="24"/>
          <w:highlight w:val="none"/>
        </w:rPr>
        <w:t>应当按照</w:t>
      </w:r>
      <w:r>
        <w:rPr>
          <w:rFonts w:hint="eastAsia" w:asciiTheme="minorEastAsia" w:hAnsiTheme="minorEastAsia" w:eastAsiaTheme="minorEastAsia"/>
          <w:color w:val="auto"/>
          <w:sz w:val="24"/>
          <w:highlight w:val="none"/>
        </w:rPr>
        <w:t>资质等级较低的供应商确定资质等级。</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5.7以联合体形式参加政府采购活动的，联合体各方不得再单独参加或者与其他供应商另外组成联合体参加本项目政府采购活动，否则相关</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5.8对联合体的其他资格要求</w:t>
      </w:r>
      <w:r>
        <w:rPr>
          <w:rFonts w:ascii="宋体" w:hAnsi="宋体" w:eastAsia="宋体"/>
          <w:color w:val="auto"/>
          <w:sz w:val="24"/>
          <w:highlight w:val="none"/>
        </w:rPr>
        <w:t>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不论询价的结果如何，供应商应承担所有与准备和参加询价有关的费用。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询价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.1询价通知书包括下列内容：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询价邀请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供应商须知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w:t>
      </w:r>
      <w:r>
        <w:rPr>
          <w:rFonts w:hint="eastAsia" w:asciiTheme="minorEastAsia" w:hAnsiTheme="minorEastAsia" w:eastAsiaTheme="minorEastAsia"/>
          <w:color w:val="auto"/>
          <w:sz w:val="24"/>
          <w:highlight w:val="none"/>
        </w:rPr>
        <w:t>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响应文件格式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.2询价通知书中有不一致的，有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.4原则上采购人、采购代理机构不要求供应商提供样品。除仅凭书面方式不能准确描述采购需求，或者需要对样品进行主观判断以确认是否满足采购需求等特殊情况除外。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，对样品的评审方法及评审标准见询价通知书第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.5供应商应认真阅读询价通知书所有的事项、格式、条款和技术规范等。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供应商如对询价通知书内容有疑问，必须在</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2采购人可主动地或在解答供应商提出的问题时对询价通知书进行澄清与修改。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澄清或修改询价通知书，更正公告的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为询价通知书</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组成部分，对供应商起约束作用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在网上发布或书面通知，均作无效处理，不得作为询价通知书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了</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询价通知书（含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分包询价通知书中“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40"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.3无论询价通知书中是否要求，</w:t>
      </w:r>
      <w:r>
        <w:rPr>
          <w:rFonts w:hint="eastAsia" w:asciiTheme="minorEastAsia" w:hAnsiTheme="minorEastAsia" w:eastAsiaTheme="minorEastAsia"/>
          <w:color w:val="auto"/>
          <w:sz w:val="24"/>
          <w:highlight w:val="none"/>
        </w:rPr>
        <w:t>供应商所提供的货物及伴随的服务和工程均应符合国家强制性标准。</w:t>
      </w:r>
    </w:p>
    <w:bookmarkEnd w:id="40"/>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供应商与采购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有关的所有往来通知、函件和响应文件均用中文表述。供应商随响应文件提供的证明文件和资料可以为其它语言，但必须附中文译文。翻译的中文资料与外文资料出现差异时，以中文为准。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除询价通知书中有特殊要求外，响应文件中所使用的计量单位，应采用中华人民共和国法定计量单位。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.1供应商应完整地按询价通知书提供的响应文件格式及要求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写响应文件，</w:t>
      </w:r>
      <w:r>
        <w:rPr>
          <w:rFonts w:hint="eastAsia" w:asciiTheme="minorEastAsia" w:hAnsiTheme="minorEastAsia" w:eastAsiaTheme="minorEastAsia"/>
          <w:color w:val="auto"/>
          <w:sz w:val="24"/>
          <w:highlight w:val="none"/>
        </w:rPr>
        <w:t>具体内容详见本项目响应文件格式的相关内容。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供应商应提交询价通知书要求的证明文件，证明其响应内容符合询价通知书规定。该证明文件是响应文件的一部分。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41" w:name="_Hlk11703583"/>
      <w:r>
        <w:rPr>
          <w:rFonts w:asciiTheme="minorEastAsia" w:hAnsiTheme="minorEastAsia" w:eastAsiaTheme="minorEastAsia"/>
          <w:color w:val="auto"/>
          <w:sz w:val="24"/>
          <w:highlight w:val="none"/>
        </w:rPr>
        <w:t>。</w:t>
      </w:r>
    </w:p>
    <w:bookmarkEnd w:id="41"/>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为保证公平公正，除非另有规定或说明，供应商对同一项目</w:t>
      </w:r>
      <w:r>
        <w:rPr>
          <w:rFonts w:hint="eastAsia" w:asciiTheme="minorEastAsia" w:hAnsiTheme="minorEastAsia" w:eastAsiaTheme="minorEastAsia"/>
          <w:color w:val="auto"/>
          <w:sz w:val="24"/>
          <w:highlight w:val="none"/>
        </w:rPr>
        <w:t>提交响应文件</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备选响应</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bookmarkStart w:id="42" w:name="_Hlk23199390"/>
      <w:r>
        <w:rPr>
          <w:rFonts w:asciiTheme="minorEastAsia" w:hAnsiTheme="minorEastAsia" w:eastAsiaTheme="minorEastAsia"/>
          <w:color w:val="auto"/>
          <w:sz w:val="24"/>
          <w:highlight w:val="none"/>
        </w:rPr>
        <w:t>除询价通知书中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 xml:space="preserve"> </w:t>
      </w:r>
      <w:r>
        <w:rPr>
          <w:rFonts w:asciiTheme="minorEastAsia" w:hAnsiTheme="minorEastAsia" w:eastAsiaTheme="minorEastAsia"/>
          <w:color w:val="auto"/>
          <w:sz w:val="24"/>
          <w:highlight w:val="none"/>
        </w:rPr>
        <w:t>供应商应在报价表上标明</w:t>
      </w:r>
      <w:r>
        <w:rPr>
          <w:rFonts w:hint="eastAsia" w:asciiTheme="minorEastAsia" w:hAnsiTheme="minorEastAsia" w:eastAsiaTheme="minorEastAsia"/>
          <w:color w:val="auto"/>
          <w:sz w:val="24"/>
          <w:highlight w:val="none"/>
        </w:rPr>
        <w:t>提供的</w:t>
      </w:r>
      <w:r>
        <w:rPr>
          <w:rFonts w:asciiTheme="minorEastAsia" w:hAnsiTheme="minorEastAsia" w:eastAsiaTheme="minorEastAsia"/>
          <w:color w:val="auto"/>
          <w:sz w:val="24"/>
          <w:highlight w:val="none"/>
        </w:rPr>
        <w:t>货物及相关服务的单价（如适用）和总价。</w:t>
      </w:r>
      <w:r>
        <w:rPr>
          <w:rFonts w:hint="eastAsia" w:asciiTheme="minorEastAsia" w:hAnsiTheme="minorEastAsia" w:eastAsiaTheme="minorEastAsia"/>
          <w:color w:val="auto"/>
          <w:sz w:val="24"/>
          <w:highlight w:val="none"/>
        </w:rPr>
        <w:t>未标明的视同包含在报价中。</w:t>
      </w:r>
    </w:p>
    <w:p>
      <w:pPr>
        <w:spacing w:line="360" w:lineRule="auto"/>
        <w:ind w:firstLine="435"/>
        <w:rPr>
          <w:rFonts w:asciiTheme="minorEastAsia" w:hAnsiTheme="minorEastAsia" w:eastAsiaTheme="minorEastAsia"/>
          <w:color w:val="auto"/>
          <w:sz w:val="24"/>
          <w:highlight w:val="none"/>
        </w:rPr>
      </w:pPr>
      <w:bookmarkStart w:id="43" w:name="_Hlk23199512"/>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bookmarkEnd w:id="4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.1询价有效期为从响应文件提交截止之日算起的日历天数，询价有效期详见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.2在询价有效期内，供应商的响应文件保持有效，供应商不得要求撤销或修改其响应文件。询价有效期不满足要求的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询价有效期截止之前，要求供应商延长响应文件的有效期。接受该要求的供应商将不会被要求和允许修正其响应文件。供应商也可以拒绝延长询价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询价公告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当在提交截止时间前完成响应文件的传输提交（以接收到电子签收凭证为准），并可以补充、修改或者撤回响应文件。提交截止时间前未完成响应文件传输的，视为撤回响应文件。未按规定加密或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按照《中华人民共和国政府采购法》、《中华人民共和国政府采购法实施条例》及本项目本级和上级财政部门、政府采购监督管理部门的有关规定依法组建的询价小组，负责本项目评审工作。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响应文件的评审</w:t>
      </w:r>
    </w:p>
    <w:p>
      <w:pPr>
        <w:spacing w:line="360" w:lineRule="auto"/>
        <w:ind w:firstLine="435"/>
        <w:rPr>
          <w:rFonts w:hint="eastAsia" w:ascii="宋体" w:hAnsi="宋体" w:eastAsia="宋体" w:cs="宋体"/>
          <w:color w:val="auto"/>
          <w:sz w:val="24"/>
          <w:szCs w:val="24"/>
          <w:highlight w:val="none"/>
        </w:rPr>
      </w:pPr>
      <w:bookmarkStart w:id="44" w:name="_Hlk24663244"/>
      <w:bookmarkStart w:id="45" w:name="_Hlk2320495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不良信用记录以采购人或采购代理机构查询结果为准。在本询价通知书规定的查询时间之外，网站信息发生的任何变更均不作为初审依据。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4"/>
    <w:bookmarkEnd w:id="45"/>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响应文件的评审</w:t>
      </w:r>
      <w:r>
        <w:rPr>
          <w:rFonts w:asciiTheme="minorEastAsia" w:hAnsiTheme="minorEastAsia" w:eastAsiaTheme="minorEastAsia"/>
          <w:color w:val="auto"/>
          <w:sz w:val="24"/>
          <w:highlight w:val="none"/>
        </w:rPr>
        <w:t>是指依据询价通知书的规定，从响应文件的有效性和完整性对询价通知书的响应程度进行审查，以确定是否对询价通知书的实质性要求做出响应。</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授权代表</w:t>
      </w:r>
      <w:r>
        <w:rPr>
          <w:rFonts w:asciiTheme="minorEastAsia" w:hAnsiTheme="minorEastAsia" w:eastAsiaTheme="minorEastAsia"/>
          <w:color w:val="auto"/>
          <w:sz w:val="24"/>
          <w:highlight w:val="none"/>
        </w:rPr>
        <w:t>认为采购人员及其相关人员有法律法规所列与其他供应商有利害关系的，可以向采购人或采购代理机构书面提出回避申请，并说明理由。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终止询价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w:t>
      </w:r>
      <w:bookmarkStart w:id="46" w:name="_Hlk22478676"/>
      <w:r>
        <w:rPr>
          <w:rFonts w:asciiTheme="minorEastAsia" w:hAnsiTheme="minorEastAsia" w:eastAsiaTheme="minorEastAsia"/>
          <w:color w:val="auto"/>
          <w:sz w:val="24"/>
          <w:highlight w:val="none"/>
        </w:rPr>
        <w:t>终止询价</w:t>
      </w:r>
      <w:bookmarkEnd w:id="46"/>
      <w:r>
        <w:rPr>
          <w:rFonts w:asciiTheme="minorEastAsia" w:hAnsiTheme="minorEastAsia" w:eastAsiaTheme="minorEastAsia"/>
          <w:color w:val="auto"/>
          <w:sz w:val="24"/>
          <w:highlight w:val="none"/>
        </w:rPr>
        <w:t>采购活动，发</w:t>
      </w:r>
      <w:r>
        <w:rPr>
          <w:rFonts w:hint="eastAsia" w:asciiTheme="minorEastAsia" w:hAnsiTheme="minorEastAsia" w:eastAsiaTheme="minorEastAsia"/>
          <w:color w:val="auto"/>
          <w:sz w:val="24"/>
          <w:highlight w:val="none"/>
        </w:rPr>
        <w:t>布项目终止公告并说明原因，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因情况变化，不再符合规定的询价采购方式适用情形的；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）在采购过程中符合竞争要求的供应商或者报价未超过采购预算的供应商不足3</w:t>
      </w:r>
      <w:r>
        <w:rPr>
          <w:rFonts w:hint="eastAsia" w:asciiTheme="minorEastAsia" w:hAnsiTheme="minorEastAsia" w:eastAsiaTheme="minorEastAsia"/>
          <w:color w:val="auto"/>
          <w:sz w:val="24"/>
          <w:highlight w:val="none"/>
        </w:rPr>
        <w:t>家的。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询价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.2询价小组要求供应商澄清、说明或者更正响应文件应当以书面形式（询标）作出。供应商的澄清、说明或者更正应当由法定代表人或其授权代表签字或者加盖公章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电子签章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如有询标，授权代表（或法定代表人）可通过远程登录的方式接受网上询标，也可凭本人有效身份证明参加询标。因授权代表联系不上、没有及时登录系统等情形而无法接受询价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ajorEastAsia" w:hAnsiTheme="majorEastAsia" w:eastAsiaTheme="majorEastAsia"/>
          <w:color w:val="auto"/>
          <w:sz w:val="24"/>
          <w:highlight w:val="none"/>
        </w:rPr>
      </w:pPr>
      <w:bookmarkStart w:id="47" w:name="_Hlk60605471"/>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.1根据《政府采购促进中小企业发展管理办法》（财库〔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w:t>
      </w:r>
      <w:r>
        <w:rPr>
          <w:rFonts w:ascii="宋体" w:hAnsi="宋体" w:eastAsia="宋体"/>
          <w:color w:val="auto"/>
          <w:sz w:val="24"/>
          <w:highlight w:val="none"/>
        </w:rPr>
        <w:t>财政部 司法部关于政府</w:t>
      </w:r>
      <w:r>
        <w:rPr>
          <w:rFonts w:asciiTheme="majorEastAsia" w:hAnsiTheme="majorEastAsia" w:eastAsiaTheme="majorEastAsia"/>
          <w:color w:val="auto"/>
          <w:sz w:val="24"/>
          <w:highlight w:val="none"/>
        </w:rPr>
        <w:t>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中规定的标准扣除后的价格参与评审。对于同时属于小微企业、监狱企业或残疾人福利性单位的，不重复进行报价扣除。</w:t>
      </w:r>
    </w:p>
    <w:p>
      <w:pPr>
        <w:spacing w:line="360" w:lineRule="auto"/>
        <w:ind w:firstLine="435"/>
        <w:rPr>
          <w:rFonts w:ascii="宋体" w:hAnsi="宋体" w:eastAsia="宋体"/>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w:t>
      </w:r>
      <w:r>
        <w:rPr>
          <w:rFonts w:hint="eastAsia" w:ascii="宋体" w:hAnsi="宋体" w:eastAsia="宋体"/>
          <w:color w:val="auto"/>
          <w:sz w:val="24"/>
          <w:highlight w:val="none"/>
        </w:rPr>
        <w:t>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.2如一个分包内只有一种产品，不同供应商所投产品为同一品牌同一型号的，提供相同品牌相同型号产品的不同供应商，以其通过</w:t>
      </w:r>
      <w:r>
        <w:rPr>
          <w:rFonts w:hint="eastAsia" w:asciiTheme="minorEastAsia" w:hAnsiTheme="minorEastAsia" w:eastAsiaTheme="minorEastAsia"/>
          <w:color w:val="auto"/>
          <w:sz w:val="24"/>
          <w:highlight w:val="none"/>
        </w:rPr>
        <w:t>评</w:t>
      </w:r>
      <w:r>
        <w:rPr>
          <w:rFonts w:asciiTheme="minorEastAsia" w:hAnsiTheme="minorEastAsia" w:eastAsiaTheme="minorEastAsia"/>
          <w:color w:val="auto"/>
          <w:sz w:val="24"/>
          <w:highlight w:val="none"/>
        </w:rPr>
        <w:t>审且报价最低的供应商获得成交候选人推荐资格；报价相同的，则所投产品为节能产品、环境标志产品、不发达地区或少数民族地区产品者优先；报价相同且所投产品同为节能产品、环境标志产品、不发达地区或少数民族地区产品的，则由询价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载明核心产品，多家供应商提供的核心产品品牌型号相同的，按第</w:t>
      </w: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4除了算术修正和落实政府采购政策需进行的价格扣除外，不对供应商的报价进行任何调整。评审结果按修正和扣除后的报价由低到高顺序排列。修正和扣除后的报价出现两家或两家以上相同者，则所投产品为节能产品、环境标志产品、不发达地区或少数民族地区产品者优先；若报价相同且所投产品同为节能产品、环境标志产品、不发达地区或少数民族地区产品的，则采取询价小组随机抽取的方式确定成交候选顺序。</w:t>
      </w:r>
      <w:bookmarkEnd w:id="47"/>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询价小组应当从质量和服务均能满足采购文件实质性响应要求的供应商中，按照报价由低到高的顺序提出</w:t>
      </w:r>
      <w:r>
        <w:rPr>
          <w:rFonts w:asciiTheme="minorEastAsia" w:hAnsiTheme="minorEastAsia" w:eastAsiaTheme="minorEastAsia"/>
          <w:color w:val="auto"/>
          <w:sz w:val="24"/>
          <w:highlight w:val="none"/>
        </w:rPr>
        <w:t>3名以上成交候选人</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中规定，经采购人或采购人授权的询价小组确定成交供应商。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因重大变故采购任务取消时，采购人有权拒绝任何供应商成交，且对受影响的供应商不承担任何责任。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报告是根据全体询价小组成员签字的原始评审记录和评审结果编写的报告，评审报告由询价小组全体成员签字。对评审结论持有异议的询价小组成员可以书面方式阐述其不同意见和理由。询价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.1评审应在严格保密的情况下进行。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.2有关人员应当遵守评审工作纪律，不得泄露评审文件、评审情况和评审中获悉的国家秘密、商业秘密。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规定由询价小组直接确定</w:t>
      </w:r>
      <w:r>
        <w:rPr>
          <w:rFonts w:hint="eastAsia" w:asciiTheme="minorEastAsia" w:hAnsiTheme="minorEastAsia" w:eastAsiaTheme="minorEastAsia"/>
          <w:color w:val="auto"/>
          <w:sz w:val="24"/>
          <w:highlight w:val="none"/>
        </w:rPr>
        <w:t>成交供应商外，</w:t>
      </w:r>
      <w:r>
        <w:rPr>
          <w:rFonts w:asciiTheme="minorEastAsia" w:hAnsiTheme="minorEastAsia" w:eastAsiaTheme="minorEastAsia"/>
          <w:color w:val="auto"/>
          <w:sz w:val="24"/>
          <w:highlight w:val="none"/>
        </w:rPr>
        <w:t>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报告送采购人。采购人应当自收到评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报告之日起５个工作日内，在评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报告确定的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候选人名单中按顺序确定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候选人并列的，由采购人或者采购人委托询价小组按照询价通知书规定的方式确定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；询价通知书未规定的，采取随机抽取的方式确定。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.2自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.3成交</w:t>
      </w:r>
      <w:r>
        <w:rPr>
          <w:rFonts w:asciiTheme="minorEastAsia" w:hAnsiTheme="minorEastAsia" w:eastAsiaTheme="minorEastAsia"/>
          <w:color w:val="auto"/>
          <w:sz w:val="24"/>
          <w:highlight w:val="none"/>
        </w:rPr>
        <w:t>公告内容应当包括采购人及其委托的采购代理机构的名称、地址、联系方式，项目名称和项目编号，</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名称、地址和</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金额，主要</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标的的名称、规格型号、数量、单价、服务要求，</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发出</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通知书对采购人和</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具有同等法律效力。</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.告知</w:t>
      </w:r>
      <w:r>
        <w:rPr>
          <w:rFonts w:hint="eastAsia" w:asciiTheme="minorEastAsia" w:hAnsiTheme="minorEastAsia" w:eastAsiaTheme="minorEastAsia"/>
          <w:b/>
          <w:color w:val="auto"/>
          <w:sz w:val="24"/>
          <w:highlight w:val="none"/>
        </w:rPr>
        <w:t>询价</w:t>
      </w:r>
      <w:r>
        <w:rPr>
          <w:rFonts w:asciiTheme="minorEastAsia" w:hAnsiTheme="minorEastAsia" w:eastAsiaTheme="minorEastAsia"/>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如果成交供应商没有按照上述履约保证金的规定执行，将视为放弃成交资格。在此情况下，采购人可</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w:t>
      </w:r>
      <w:r>
        <w:rPr>
          <w:rFonts w:hint="eastAsia" w:asciiTheme="minorEastAsia" w:hAnsiTheme="minorEastAsia" w:eastAsiaTheme="minorEastAsia"/>
          <w:color w:val="auto"/>
          <w:sz w:val="24"/>
          <w:highlight w:val="none"/>
          <w:lang w:val="en-US" w:eastAsia="zh-CN"/>
        </w:rPr>
        <w:t>代理费用</w:t>
      </w:r>
      <w:r>
        <w:rPr>
          <w:rFonts w:hint="eastAsia" w:asciiTheme="minorEastAsia" w:hAnsiTheme="minorEastAsia" w:eastAsiaTheme="minorEastAsia"/>
          <w:color w:val="auto"/>
          <w:sz w:val="24"/>
          <w:highlight w:val="none"/>
        </w:rPr>
        <w:t>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.2询价通知书、成交供应商的响应文件及其澄清文件等，均为签订合同的依据。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.3成交供应商</w:t>
      </w:r>
      <w:r>
        <w:rPr>
          <w:rFonts w:asciiTheme="minorEastAsia" w:hAnsiTheme="minorEastAsia" w:eastAsiaTheme="minorEastAsia"/>
          <w:color w:val="auto"/>
          <w:sz w:val="24"/>
          <w:highlight w:val="none"/>
        </w:rPr>
        <w:t>拒绝与采购人签订合同的，采购人可以按照评审报告推荐的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w:t>
      </w:r>
      <w:r>
        <w:rPr>
          <w:rFonts w:hint="eastAsia" w:asciiTheme="minorEastAsia" w:hAnsiTheme="minorEastAsia" w:eastAsiaTheme="minorEastAsia"/>
          <w:color w:val="auto"/>
          <w:sz w:val="24"/>
          <w:highlight w:val="none"/>
        </w:rPr>
        <w:t>名单</w:t>
      </w:r>
      <w:r>
        <w:rPr>
          <w:rFonts w:asciiTheme="minorEastAsia" w:hAnsiTheme="minorEastAsia" w:eastAsiaTheme="minorEastAsia"/>
          <w:color w:val="auto"/>
          <w:sz w:val="24"/>
          <w:highlight w:val="none"/>
        </w:rPr>
        <w:t>排序</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，也可以重新开展政府采购活动。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.4当出现法规规定的成交无效或成交结果无效情形时，采购人可依法与排名下一位的成交候选人另行签订合同，或依法重新开展采购活动。</w:t>
      </w:r>
    </w:p>
    <w:p>
      <w:pPr>
        <w:spacing w:line="360" w:lineRule="auto"/>
        <w:ind w:firstLine="435"/>
        <w:rPr>
          <w:rFonts w:asciiTheme="minorEastAsia" w:hAnsiTheme="minorEastAsia" w:eastAsiaTheme="minorEastAsia"/>
          <w:color w:val="auto"/>
          <w:sz w:val="24"/>
          <w:highlight w:val="none"/>
        </w:rPr>
      </w:pPr>
      <w:bookmarkStart w:id="48" w:name="_Hlk60264926"/>
      <w:r>
        <w:rPr>
          <w:rFonts w:hint="eastAsia" w:ascii="宋体" w:hAnsi="宋体" w:eastAsia="宋体"/>
          <w:color w:val="auto"/>
          <w:sz w:val="24"/>
          <w:highlight w:val="none"/>
          <w:lang w:val="en-US" w:eastAsia="zh-CN"/>
        </w:rPr>
        <w:t>25</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48"/>
    </w:p>
    <w:p>
      <w:pPr>
        <w:spacing w:line="360" w:lineRule="auto"/>
        <w:ind w:firstLine="437"/>
        <w:outlineLvl w:val="2"/>
        <w:rPr>
          <w:rFonts w:asciiTheme="minorEastAsia" w:hAnsiTheme="minorEastAsia" w:eastAsiaTheme="minorEastAsia"/>
          <w:b/>
          <w:color w:val="auto"/>
          <w:sz w:val="24"/>
          <w:highlight w:val="none"/>
        </w:rPr>
      </w:pPr>
      <w:bookmarkStart w:id="49" w:name="_Toc518923100"/>
      <w:bookmarkStart w:id="50" w:name="_Toc2583661"/>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49"/>
      <w:bookmarkEnd w:id="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.1采购代理机构</w:t>
      </w:r>
      <w:r>
        <w:rPr>
          <w:rFonts w:asciiTheme="minorEastAsia" w:hAnsiTheme="minorEastAsia" w:eastAsiaTheme="minorEastAsia"/>
          <w:color w:val="auto"/>
          <w:sz w:val="24"/>
          <w:highlight w:val="none"/>
        </w:rPr>
        <w:t>工作人员</w:t>
      </w:r>
      <w:r>
        <w:rPr>
          <w:rFonts w:hint="eastAsia" w:asciiTheme="minorEastAsia" w:hAnsiTheme="minorEastAsia" w:eastAsiaTheme="minorEastAsia"/>
          <w:color w:val="auto"/>
          <w:sz w:val="24"/>
          <w:highlight w:val="none"/>
        </w:rPr>
        <w:t>不得以不正当手段获取政府采购代理业务，不得与采购人、供应商恶意串通。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.1供应商认为询价通知书、采购过程和成交结果使自己的权益受到损害的，可以在知道或者应知其权益受到损害之日起七个工作日内，以书面形式向采购人或其委托的采购代理机构提出质疑。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质疑供应商应按照财政部制定的《政府采购质疑函范本》格式（详见</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采购代理机构质疑函接收部门、联系电话和通讯地址，见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1" w:name="_Toc1471"/>
      <w:r>
        <w:rPr>
          <w:rFonts w:hint="eastAsia" w:asciiTheme="minorEastAsia" w:hAnsiTheme="minorEastAsia" w:eastAsiaTheme="minorEastAsia"/>
          <w:b/>
          <w:color w:val="auto"/>
          <w:sz w:val="28"/>
          <w:highlight w:val="none"/>
        </w:rPr>
        <w:t>第三章  采购需求</w:t>
      </w:r>
      <w:bookmarkEnd w:id="51"/>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szCs w:val="18"/>
          <w:highlight w:val="none"/>
        </w:rPr>
        <w:t>根据《</w:t>
      </w:r>
      <w:r>
        <w:rPr>
          <w:rFonts w:hint="eastAsia" w:asciiTheme="minorEastAsia" w:hAnsiTheme="minorEastAsia" w:eastAsiaTheme="minorEastAsia"/>
          <w:color w:val="auto"/>
          <w:sz w:val="24"/>
          <w:szCs w:val="18"/>
          <w:highlight w:val="none"/>
        </w:rPr>
        <w:t>政府采购进口产品管理办法</w:t>
      </w:r>
      <w:r>
        <w:rPr>
          <w:rFonts w:asciiTheme="minorEastAsia" w:hAnsiTheme="minorEastAsia" w:eastAsiaTheme="minorEastAsia"/>
          <w:color w:val="auto"/>
          <w:sz w:val="24"/>
          <w:szCs w:val="18"/>
          <w:highlight w:val="none"/>
        </w:rPr>
        <w:t>》及政府采购管理部门的相关规定，下列采购需求中</w:t>
      </w:r>
      <w:r>
        <w:rPr>
          <w:rFonts w:hint="eastAsia" w:asciiTheme="minorEastAsia" w:hAnsiTheme="minorEastAsia" w:eastAsiaTheme="minorEastAsia"/>
          <w:color w:val="auto"/>
          <w:sz w:val="24"/>
          <w:szCs w:val="18"/>
          <w:highlight w:val="none"/>
        </w:rPr>
        <w:t>标注进口产品的货物均</w:t>
      </w:r>
      <w:r>
        <w:rPr>
          <w:rFonts w:asciiTheme="minorEastAsia" w:hAnsiTheme="minorEastAsia" w:eastAsiaTheme="minorEastAsia"/>
          <w:color w:val="auto"/>
          <w:sz w:val="24"/>
          <w:szCs w:val="18"/>
          <w:highlight w:val="none"/>
        </w:rPr>
        <w:t>已履行相关论证手续，经核准采购进口</w:t>
      </w:r>
      <w:r>
        <w:rPr>
          <w:rFonts w:hint="eastAsia" w:asciiTheme="minorEastAsia" w:hAnsiTheme="minorEastAsia" w:eastAsiaTheme="minorEastAsia"/>
          <w:color w:val="auto"/>
          <w:sz w:val="24"/>
          <w:szCs w:val="18"/>
          <w:highlight w:val="none"/>
        </w:rPr>
        <w:t>产品</w:t>
      </w:r>
      <w:r>
        <w:rPr>
          <w:rFonts w:asciiTheme="minorEastAsia" w:hAnsiTheme="minorEastAsia" w:eastAsiaTheme="minorEastAsia"/>
          <w:color w:val="auto"/>
          <w:sz w:val="24"/>
          <w:szCs w:val="18"/>
          <w:highlight w:val="none"/>
        </w:rPr>
        <w:t>，但不限制满足询价通知书要求的国内产品参与竞争</w:t>
      </w:r>
      <w:r>
        <w:rPr>
          <w:rFonts w:hint="eastAsia" w:asciiTheme="minorEastAsia" w:hAnsiTheme="minorEastAsia" w:eastAsiaTheme="minorEastAsia"/>
          <w:color w:val="auto"/>
          <w:sz w:val="24"/>
          <w:szCs w:val="18"/>
          <w:highlight w:val="none"/>
        </w:rPr>
        <w:t>。未标注进口产品的货物均</w:t>
      </w:r>
      <w:r>
        <w:rPr>
          <w:rFonts w:asciiTheme="minorEastAsia" w:hAnsiTheme="minorEastAsia" w:eastAsiaTheme="minorEastAsia"/>
          <w:color w:val="auto"/>
          <w:sz w:val="24"/>
          <w:szCs w:val="18"/>
          <w:highlight w:val="none"/>
        </w:rPr>
        <w:t>为拒绝采购进口产品</w:t>
      </w:r>
      <w:r>
        <w:rPr>
          <w:rFonts w:hint="eastAsia" w:asciiTheme="minorEastAsia" w:hAnsiTheme="minorEastAsia" w:eastAsiaTheme="min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lang w:val="en-US" w:eastAsia="zh-CN"/>
        </w:rPr>
        <w:t>4</w:t>
      </w:r>
      <w:r>
        <w:rPr>
          <w:rFonts w:hint="eastAsia" w:asciiTheme="minorEastAsia" w:hAnsiTheme="minorEastAsia" w:eastAsiaTheme="minorEastAsia"/>
          <w:color w:val="auto"/>
          <w:sz w:val="24"/>
          <w:szCs w:val="18"/>
          <w:highlight w:val="none"/>
        </w:rPr>
        <w:t>.★条款须满足或优于询价通知书要求，否则</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；非★条款</w:t>
      </w:r>
      <w:r>
        <w:rPr>
          <w:rFonts w:hint="eastAsia" w:asciiTheme="minorEastAsia" w:hAnsiTheme="minorEastAsia" w:eastAsiaTheme="minorEastAsia"/>
          <w:color w:val="auto"/>
          <w:sz w:val="24"/>
          <w:szCs w:val="18"/>
          <w:highlight w:val="none"/>
          <w:u w:val="single"/>
        </w:rPr>
        <w:t xml:space="preserve"> </w:t>
      </w:r>
      <w:r>
        <w:rPr>
          <w:rFonts w:asciiTheme="minorEastAsia" w:hAnsiTheme="minorEastAsia" w:eastAsiaTheme="minorEastAsia"/>
          <w:color w:val="auto"/>
          <w:sz w:val="24"/>
          <w:szCs w:val="18"/>
          <w:highlight w:val="none"/>
          <w:u w:val="single"/>
        </w:rPr>
        <w:t xml:space="preserve">  </w:t>
      </w:r>
      <w:r>
        <w:rPr>
          <w:rFonts w:hint="eastAsia" w:asciiTheme="minorEastAsia" w:hAnsiTheme="minorEastAsia" w:eastAsiaTheme="minorEastAsia"/>
          <w:color w:val="auto"/>
          <w:sz w:val="24"/>
          <w:szCs w:val="18"/>
          <w:highlight w:val="none"/>
        </w:rPr>
        <w:t>条及以上未响应的，</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w:t>
      </w:r>
      <w:r>
        <w:rPr>
          <w:rFonts w:hint="eastAsia" w:asciiTheme="minorEastAsia" w:hAnsiTheme="minorEastAsia" w:eastAsiaTheme="minorEastAsia"/>
          <w:i/>
          <w:iCs/>
          <w:color w:val="FF0000"/>
          <w:sz w:val="24"/>
          <w:szCs w:val="18"/>
          <w:highlight w:val="none"/>
        </w:rPr>
        <w:t>（</w:t>
      </w:r>
      <w:r>
        <w:rPr>
          <w:rFonts w:hint="eastAsia" w:asciiTheme="minorEastAsia" w:hAnsiTheme="minorEastAsia" w:eastAsiaTheme="minorEastAsia"/>
          <w:i/>
          <w:iCs/>
          <w:color w:val="FF0000"/>
          <w:sz w:val="24"/>
          <w:szCs w:val="18"/>
          <w:highlight w:val="none"/>
          <w:lang w:eastAsia="zh-CN"/>
        </w:rPr>
        <w:t>本条</w:t>
      </w:r>
      <w:r>
        <w:rPr>
          <w:rFonts w:hint="eastAsia" w:asciiTheme="minorEastAsia" w:hAnsiTheme="minorEastAsia" w:eastAsiaTheme="minorEastAsia"/>
          <w:i/>
          <w:iCs/>
          <w:color w:val="FF0000"/>
          <w:sz w:val="24"/>
          <w:szCs w:val="18"/>
          <w:highlight w:val="none"/>
        </w:rPr>
        <w:t>可编辑）</w:t>
      </w:r>
    </w:p>
    <w:p>
      <w:pPr>
        <w:spacing w:line="360" w:lineRule="auto"/>
        <w:rPr>
          <w:rFonts w:asciiTheme="minorEastAsia" w:hAnsiTheme="minorEastAsia" w:eastAsiaTheme="minorEastAsia"/>
          <w:color w:val="auto"/>
          <w:sz w:val="24"/>
          <w:szCs w:val="18"/>
          <w:highlight w:val="none"/>
        </w:rPr>
      </w:pPr>
    </w:p>
    <w:p>
      <w:pPr>
        <w:spacing w:line="360" w:lineRule="auto"/>
        <w:ind w:firstLine="437"/>
        <w:outlineLvl w:val="1"/>
        <w:rPr>
          <w:rFonts w:asciiTheme="minorEastAsia" w:hAnsiTheme="minorEastAsia" w:eastAsiaTheme="minorEastAsia"/>
          <w:b/>
          <w:color w:val="auto"/>
          <w:sz w:val="24"/>
          <w:szCs w:val="18"/>
          <w:highlight w:val="none"/>
        </w:rPr>
      </w:pPr>
      <w:bookmarkStart w:id="52" w:name="_Toc23283"/>
      <w:bookmarkStart w:id="53" w:name="_Toc23627"/>
      <w:r>
        <w:rPr>
          <w:rFonts w:hint="eastAsia" w:asciiTheme="minorEastAsia" w:hAnsiTheme="minorEastAsia" w:eastAsiaTheme="minorEastAsia"/>
          <w:b/>
          <w:color w:val="auto"/>
          <w:sz w:val="24"/>
          <w:szCs w:val="18"/>
          <w:highlight w:val="none"/>
        </w:rPr>
        <w:t>一、采购需求前附表</w:t>
      </w:r>
      <w:bookmarkEnd w:id="52"/>
      <w:bookmarkEnd w:id="53"/>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2228"/>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
                <w:color w:val="auto"/>
                <w:kern w:val="2"/>
                <w:highlight w:val="none"/>
              </w:rPr>
            </w:pPr>
            <w:r>
              <w:rPr>
                <w:rFonts w:hint="eastAsia" w:asciiTheme="minorEastAsia" w:hAnsiTheme="minorEastAsia" w:eastAsiaTheme="minorEastAsia"/>
                <w:b/>
                <w:color w:val="auto"/>
                <w:kern w:val="2"/>
                <w:highlight w:val="none"/>
              </w:rPr>
              <w:t>序号</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条款名称</w:t>
            </w:r>
          </w:p>
        </w:tc>
        <w:tc>
          <w:tcPr>
            <w:tcW w:w="3217" w:type="pct"/>
            <w:vAlign w:val="center"/>
          </w:tcPr>
          <w:p>
            <w:pPr>
              <w:pStyle w:val="27"/>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付款方式</w:t>
            </w:r>
          </w:p>
        </w:tc>
        <w:tc>
          <w:tcPr>
            <w:tcW w:w="3217"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供货及安装地点</w:t>
            </w:r>
          </w:p>
        </w:tc>
        <w:tc>
          <w:tcPr>
            <w:tcW w:w="3217"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3</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供货及安装期限</w:t>
            </w:r>
          </w:p>
        </w:tc>
        <w:tc>
          <w:tcPr>
            <w:tcW w:w="3217"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合同生效后</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4</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免费质保期</w:t>
            </w:r>
          </w:p>
        </w:tc>
        <w:tc>
          <w:tcPr>
            <w:tcW w:w="3217"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验收合格之日起</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5</w:t>
            </w:r>
          </w:p>
        </w:tc>
        <w:tc>
          <w:tcPr>
            <w:tcW w:w="1192" w:type="pct"/>
            <w:vAlign w:val="center"/>
          </w:tcPr>
          <w:p>
            <w:pPr>
              <w:pStyle w:val="27"/>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c>
          <w:tcPr>
            <w:tcW w:w="3217" w:type="pct"/>
            <w:vAlign w:val="center"/>
          </w:tcPr>
          <w:p>
            <w:pPr>
              <w:pStyle w:val="27"/>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r>
    </w:tbl>
    <w:p>
      <w:pPr>
        <w:spacing w:line="360" w:lineRule="auto"/>
        <w:ind w:firstLine="437"/>
        <w:outlineLvl w:val="1"/>
        <w:rPr>
          <w:rFonts w:asciiTheme="minorEastAsia" w:hAnsiTheme="minorEastAsia" w:eastAsiaTheme="minorEastAsia"/>
          <w:b/>
          <w:bCs/>
          <w:color w:val="auto"/>
          <w:sz w:val="24"/>
          <w:szCs w:val="18"/>
          <w:highlight w:val="none"/>
        </w:rPr>
      </w:pPr>
      <w:bookmarkStart w:id="54" w:name="_Toc30209"/>
      <w:bookmarkStart w:id="55" w:name="_Toc16847"/>
      <w:r>
        <w:rPr>
          <w:rFonts w:hint="eastAsia" w:asciiTheme="minorEastAsia" w:hAnsiTheme="minorEastAsia" w:eastAsiaTheme="minorEastAsia"/>
          <w:b/>
          <w:bCs/>
          <w:color w:val="auto"/>
          <w:sz w:val="24"/>
          <w:szCs w:val="18"/>
          <w:highlight w:val="none"/>
        </w:rPr>
        <w:t>二、货物需求</w:t>
      </w:r>
      <w:bookmarkEnd w:id="54"/>
      <w:bookmarkEnd w:id="55"/>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1946"/>
        <w:gridCol w:w="2434"/>
        <w:gridCol w:w="1168"/>
        <w:gridCol w:w="875"/>
        <w:gridCol w:w="1288"/>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序号</w:t>
            </w:r>
          </w:p>
        </w:tc>
        <w:tc>
          <w:tcPr>
            <w:tcW w:w="1041"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货物名称</w:t>
            </w:r>
          </w:p>
        </w:tc>
        <w:tc>
          <w:tcPr>
            <w:tcW w:w="1302"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技术参数及要求</w:t>
            </w:r>
          </w:p>
        </w:tc>
        <w:tc>
          <w:tcPr>
            <w:tcW w:w="62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数量（单位）</w:t>
            </w:r>
          </w:p>
        </w:tc>
        <w:tc>
          <w:tcPr>
            <w:tcW w:w="468"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所属行业</w:t>
            </w:r>
          </w:p>
        </w:tc>
        <w:tc>
          <w:tcPr>
            <w:tcW w:w="689"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5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2</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3</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4</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5</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6</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7</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8</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9</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10</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bl>
    <w:p>
      <w:pPr>
        <w:spacing w:line="360" w:lineRule="auto"/>
        <w:ind w:firstLine="482" w:firstLineChars="200"/>
        <w:outlineLvl w:val="1"/>
        <w:rPr>
          <w:rFonts w:asciiTheme="minorEastAsia" w:hAnsiTheme="minorEastAsia" w:eastAsiaTheme="minorEastAsia"/>
          <w:b/>
          <w:bCs/>
          <w:color w:val="auto"/>
          <w:sz w:val="24"/>
          <w:szCs w:val="18"/>
          <w:highlight w:val="none"/>
        </w:rPr>
      </w:pPr>
      <w:bookmarkStart w:id="56" w:name="_Toc14176"/>
      <w:bookmarkStart w:id="57" w:name="_Toc16122"/>
      <w:r>
        <w:rPr>
          <w:rFonts w:hint="eastAsia" w:asciiTheme="minorEastAsia" w:hAnsiTheme="minorEastAsia" w:eastAsiaTheme="minorEastAsia"/>
          <w:b/>
          <w:bCs/>
          <w:color w:val="auto"/>
          <w:sz w:val="24"/>
          <w:szCs w:val="18"/>
          <w:highlight w:val="none"/>
        </w:rPr>
        <w:t>三、报价要求</w:t>
      </w:r>
      <w:bookmarkEnd w:id="56"/>
      <w:bookmarkEnd w:id="57"/>
    </w:p>
    <w:p>
      <w:pPr>
        <w:spacing w:line="360" w:lineRule="auto"/>
        <w:ind w:firstLine="480" w:firstLineChars="200"/>
        <w:rPr>
          <w:rFonts w:asciiTheme="minorEastAsia" w:hAnsiTheme="minorEastAsia" w:eastAsiaTheme="minorEastAsia"/>
          <w:bCs/>
          <w:color w:val="auto"/>
          <w:sz w:val="24"/>
          <w:szCs w:val="18"/>
          <w:highlight w:val="none"/>
        </w:rPr>
      </w:pPr>
    </w:p>
    <w:p>
      <w:pPr>
        <w:numPr>
          <w:ilvl w:val="0"/>
          <w:numId w:val="1"/>
        </w:numPr>
        <w:spacing w:line="360" w:lineRule="auto"/>
        <w:ind w:firstLine="482" w:firstLineChars="200"/>
        <w:outlineLvl w:val="1"/>
        <w:rPr>
          <w:rFonts w:hint="eastAsia" w:asciiTheme="minorEastAsia" w:hAnsiTheme="minorEastAsia" w:eastAsiaTheme="minorEastAsia"/>
          <w:b/>
          <w:bCs/>
          <w:color w:val="auto"/>
          <w:sz w:val="24"/>
          <w:szCs w:val="18"/>
          <w:highlight w:val="none"/>
        </w:rPr>
      </w:pPr>
      <w:bookmarkStart w:id="58" w:name="_Toc10777"/>
      <w:bookmarkStart w:id="59" w:name="_Toc17094"/>
      <w:r>
        <w:rPr>
          <w:rFonts w:hint="eastAsia" w:asciiTheme="minorEastAsia" w:hAnsiTheme="minorEastAsia" w:eastAsiaTheme="minorEastAsia"/>
          <w:b/>
          <w:bCs/>
          <w:color w:val="auto"/>
          <w:sz w:val="24"/>
          <w:szCs w:val="18"/>
          <w:highlight w:val="none"/>
        </w:rPr>
        <w:t>其他要求</w:t>
      </w:r>
      <w:bookmarkEnd w:id="58"/>
      <w:bookmarkEnd w:id="59"/>
    </w:p>
    <w:p>
      <w:pPr>
        <w:pStyle w:val="2"/>
        <w:widowControl w:val="0"/>
        <w:numPr>
          <w:ilvl w:val="0"/>
          <w:numId w:val="0"/>
        </w:numPr>
        <w:spacing w:after="120"/>
        <w:jc w:val="both"/>
      </w:pPr>
    </w:p>
    <w:p>
      <w:pPr>
        <w:spacing w:line="360" w:lineRule="auto"/>
        <w:ind w:firstLine="437"/>
        <w:outlineLvl w:val="1"/>
        <w:rPr>
          <w:rFonts w:hint="eastAsia" w:ascii="宋体" w:hAnsi="宋体" w:eastAsia="宋体"/>
          <w:b/>
          <w:bCs/>
          <w:color w:val="auto"/>
          <w:sz w:val="24"/>
          <w:szCs w:val="18"/>
          <w:highlight w:val="none"/>
          <w:lang w:eastAsia="zh-CN"/>
        </w:rPr>
      </w:pPr>
      <w:bookmarkStart w:id="60" w:name="_Toc6897"/>
      <w:bookmarkStart w:id="61" w:name="_Toc30761"/>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60"/>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61"/>
    </w:p>
    <w:p>
      <w:pPr>
        <w:pStyle w:val="2"/>
        <w:widowControl w:val="0"/>
        <w:numPr>
          <w:ilvl w:val="0"/>
          <w:numId w:val="0"/>
        </w:numPr>
        <w:spacing w:after="120"/>
        <w:jc w:val="both"/>
      </w:pPr>
    </w:p>
    <w:p>
      <w:pPr>
        <w:spacing w:line="360" w:lineRule="auto"/>
        <w:ind w:firstLine="480" w:firstLineChars="200"/>
        <w:rPr>
          <w:rFonts w:asciiTheme="minorEastAsia" w:hAnsiTheme="minorEastAsia" w:eastAsiaTheme="minorEastAsia"/>
          <w:bCs/>
          <w:color w:val="auto"/>
          <w:sz w:val="24"/>
          <w:szCs w:val="18"/>
          <w:highlight w:val="none"/>
        </w:rPr>
      </w:pP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2" w:name="_Toc15765"/>
      <w:r>
        <w:rPr>
          <w:rFonts w:hint="eastAsia" w:asciiTheme="minorEastAsia" w:hAnsiTheme="minorEastAsia" w:eastAsiaTheme="minorEastAsia"/>
          <w:b/>
          <w:color w:val="auto"/>
          <w:sz w:val="28"/>
          <w:highlight w:val="none"/>
        </w:rPr>
        <w:t>第四章  评审方法和标准</w:t>
      </w:r>
      <w:bookmarkEnd w:id="62"/>
    </w:p>
    <w:p>
      <w:pPr>
        <w:spacing w:line="360" w:lineRule="auto"/>
        <w:ind w:firstLine="437"/>
        <w:outlineLvl w:val="1"/>
        <w:rPr>
          <w:rFonts w:asciiTheme="minorEastAsia" w:hAnsiTheme="minorEastAsia" w:eastAsiaTheme="minorEastAsia"/>
          <w:b/>
          <w:color w:val="auto"/>
          <w:sz w:val="24"/>
          <w:highlight w:val="none"/>
        </w:rPr>
      </w:pPr>
      <w:bookmarkStart w:id="63" w:name="_Toc11117"/>
      <w:bookmarkStart w:id="64" w:name="_Toc1221"/>
      <w:r>
        <w:rPr>
          <w:rFonts w:hint="eastAsia" w:asciiTheme="minorEastAsia" w:hAnsiTheme="minorEastAsia" w:eastAsiaTheme="minorEastAsia"/>
          <w:b/>
          <w:color w:val="auto"/>
          <w:sz w:val="24"/>
          <w:highlight w:val="none"/>
        </w:rPr>
        <w:t>一、总则</w:t>
      </w:r>
      <w:bookmarkEnd w:id="63"/>
      <w:bookmarkEnd w:id="6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本项目将按照询价通知书第二章 供应商须知的相关要求</w:t>
      </w:r>
      <w:r>
        <w:rPr>
          <w:rFonts w:asciiTheme="minorEastAsia" w:hAnsiTheme="minorEastAsia" w:eastAsiaTheme="minorEastAsia"/>
          <w:color w:val="auto"/>
          <w:sz w:val="24"/>
          <w:highlight w:val="none"/>
        </w:rPr>
        <w:t>及本章的规定评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65" w:name="_Toc21906"/>
      <w:bookmarkStart w:id="66" w:name="_Toc20555"/>
      <w:r>
        <w:rPr>
          <w:rFonts w:hint="eastAsia" w:asciiTheme="minorEastAsia" w:hAnsiTheme="minorEastAsia" w:eastAsiaTheme="minorEastAsia"/>
          <w:b/>
          <w:color w:val="auto"/>
          <w:sz w:val="24"/>
          <w:highlight w:val="none"/>
        </w:rPr>
        <w:t>二、评审方法</w:t>
      </w:r>
      <w:bookmarkEnd w:id="65"/>
      <w:bookmarkEnd w:id="66"/>
    </w:p>
    <w:p>
      <w:pPr>
        <w:spacing w:line="360" w:lineRule="auto"/>
        <w:ind w:firstLine="435"/>
        <w:rPr>
          <w:rFonts w:asciiTheme="minorEastAsia" w:hAnsiTheme="minorEastAsia" w:eastAsiaTheme="minorEastAsia"/>
          <w:color w:val="auto"/>
          <w:sz w:val="24"/>
          <w:highlight w:val="none"/>
        </w:rPr>
      </w:pPr>
      <w:bookmarkStart w:id="67" w:name="_Hlk23204339"/>
      <w:r>
        <w:rPr>
          <w:rFonts w:hint="eastAsia" w:asciiTheme="minorEastAsia" w:hAnsiTheme="minorEastAsia" w:eastAsiaTheme="minorEastAsia"/>
          <w:color w:val="auto"/>
          <w:sz w:val="24"/>
          <w:highlight w:val="none"/>
        </w:rPr>
        <w:t>询价小组对通过供应商的响应文件进行评审，以确定其是否满足询价通知书的实质性要求。评审表如下：</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886"/>
        <w:gridCol w:w="4717"/>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bookmarkStart w:id="68" w:name="_Hlk60605773"/>
            <w:r>
              <w:rPr>
                <w:rFonts w:hint="eastAsia" w:asciiTheme="minorEastAsia" w:hAnsiTheme="minorEastAsia" w:eastAsiaTheme="minorEastAsia"/>
                <w:b/>
                <w:color w:val="auto"/>
                <w:sz w:val="24"/>
                <w:szCs w:val="22"/>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序号</w:t>
            </w:r>
          </w:p>
        </w:tc>
        <w:tc>
          <w:tcPr>
            <w:tcW w:w="1009" w:type="pct"/>
            <w:tcBorders>
              <w:bottom w:val="single" w:color="auto" w:sz="4" w:space="0"/>
            </w:tcBorders>
            <w:vAlign w:val="center"/>
          </w:tcPr>
          <w:p>
            <w:pPr>
              <w:pStyle w:val="28"/>
              <w:pBdr>
                <w:bottom w:val="none" w:color="auto" w:sz="0" w:space="0"/>
              </w:pBdr>
              <w:tabs>
                <w:tab w:val="clear" w:pos="4153"/>
                <w:tab w:val="clear" w:pos="8306"/>
              </w:tabs>
              <w:snapToGrid w:val="0"/>
              <w:spacing w:line="360" w:lineRule="auto"/>
              <w:ind w:right="-10"/>
              <w:textAlignment w:val="auto"/>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lang w:val="en-US" w:eastAsia="zh-CN"/>
              </w:rPr>
              <w:t>审查</w:t>
            </w:r>
            <w:r>
              <w:rPr>
                <w:rFonts w:hint="eastAsia" w:asciiTheme="minorEastAsia" w:hAnsiTheme="minorEastAsia" w:eastAsiaTheme="minorEastAsia"/>
                <w:color w:val="auto"/>
                <w:kern w:val="2"/>
                <w:szCs w:val="24"/>
                <w:highlight w:val="none"/>
              </w:rPr>
              <w:t>指标</w:t>
            </w:r>
          </w:p>
        </w:tc>
        <w:tc>
          <w:tcPr>
            <w:tcW w:w="2524"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审查</w:t>
            </w:r>
            <w:r>
              <w:rPr>
                <w:rFonts w:hint="eastAsia" w:asciiTheme="minorEastAsia" w:hAnsiTheme="minorEastAsia" w:eastAsiaTheme="minorEastAsia"/>
                <w:color w:val="auto"/>
                <w:sz w:val="24"/>
                <w:highlight w:val="none"/>
              </w:rPr>
              <w:t>标准</w:t>
            </w:r>
          </w:p>
        </w:tc>
        <w:tc>
          <w:tcPr>
            <w:tcW w:w="1073"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92" w:type="pct"/>
            <w:tcBorders>
              <w:bottom w:val="single" w:color="auto" w:sz="4" w:space="0"/>
            </w:tcBorders>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1</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24"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Theme="minorEastAsia" w:hAnsiTheme="minorEastAsia" w:eastAsiaTheme="minorEastAsia"/>
                <w:color w:val="auto"/>
                <w:sz w:val="24"/>
                <w:szCs w:val="28"/>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3" w:type="pct"/>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询价</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宋体" w:hAnsi="宋体" w:eastAsia="宋体"/>
                <w:color w:val="auto"/>
                <w:sz w:val="24"/>
                <w:szCs w:val="18"/>
                <w:highlight w:val="none"/>
                <w:lang w:val="en-US" w:eastAsia="zh-CN"/>
              </w:rPr>
              <w:t>供应商资格声明书</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询价通知书</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3</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18"/>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4</w:t>
            </w:r>
          </w:p>
        </w:tc>
        <w:tc>
          <w:tcPr>
            <w:tcW w:w="1009"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24"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关于预留份额的要求。</w:t>
            </w:r>
          </w:p>
        </w:tc>
        <w:tc>
          <w:tcPr>
            <w:tcW w:w="1073"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5</w:t>
            </w:r>
          </w:p>
        </w:tc>
        <w:tc>
          <w:tcPr>
            <w:tcW w:w="1009" w:type="pct"/>
            <w:vAlign w:val="top"/>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24" w:type="pct"/>
            <w:vAlign w:val="center"/>
          </w:tcPr>
          <w:p>
            <w:pPr>
              <w:spacing w:after="50" w:line="360" w:lineRule="auto"/>
              <w:ind w:right="-10" w:rightChars="0"/>
              <w:jc w:val="both"/>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3" w:type="pct"/>
            <w:vAlign w:val="center"/>
          </w:tcPr>
          <w:p>
            <w:pPr>
              <w:spacing w:after="50" w:line="360" w:lineRule="auto"/>
              <w:ind w:right="-10" w:rightChars="0"/>
              <w:jc w:val="both"/>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6</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询价</w:t>
            </w:r>
            <w:r>
              <w:rPr>
                <w:rFonts w:ascii="宋体" w:hAnsi="宋体" w:eastAsia="宋体" w:cs="宋体"/>
                <w:spacing w:val="-2"/>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1009"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适用于接受联合体参加询价项目</w:t>
            </w:r>
            <w:r>
              <w:rPr>
                <w:rFonts w:hint="eastAsia" w:ascii="宋体" w:hAnsi="宋体" w:eastAsia="宋体" w:cs="宋体"/>
                <w:spacing w:val="-2"/>
                <w:sz w:val="24"/>
                <w:szCs w:val="24"/>
                <w:lang w:eastAsia="zh-CN"/>
              </w:rPr>
              <w:t>）</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hint="eastAsia" w:ascii="宋体" w:hAnsi="宋体" w:eastAsia="宋体" w:cs="宋体"/>
                <w:spacing w:val="-2"/>
                <w:sz w:val="24"/>
                <w:szCs w:val="24"/>
                <w:lang w:val="en-US" w:eastAsia="zh-CN"/>
              </w:rPr>
              <w:t>联合体参加询价的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其他特定资格要求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询价</w:t>
            </w:r>
            <w:r>
              <w:rPr>
                <w:rFonts w:ascii="宋体" w:hAnsi="宋体" w:eastAsia="宋体" w:cs="宋体"/>
                <w:spacing w:val="10"/>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10</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询价</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11</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报价</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12</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采购需求中对付款方式、供货及安装期限、供货及安装地点、免费质保期的要求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13</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采购需求中货物技术参数及要求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14</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询价通知书</w:t>
            </w:r>
            <w:r>
              <w:rPr>
                <w:rFonts w:hint="eastAsia" w:asciiTheme="minorEastAsia" w:hAnsiTheme="minorEastAsia" w:eastAsiaTheme="minorEastAsia"/>
                <w:color w:val="auto"/>
                <w:sz w:val="24"/>
                <w:szCs w:val="28"/>
                <w:highlight w:val="none"/>
              </w:rPr>
              <w:t>列明的其他要求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p>
        </w:tc>
      </w:tr>
      <w:bookmarkEnd w:id="68"/>
    </w:tbl>
    <w:p>
      <w:pPr>
        <w:spacing w:line="360" w:lineRule="auto"/>
        <w:ind w:firstLine="435"/>
        <w:rPr>
          <w:rFonts w:asciiTheme="minorEastAsia" w:hAnsiTheme="minorEastAsia" w:eastAsiaTheme="minorEastAsia"/>
          <w:color w:val="auto"/>
          <w:sz w:val="24"/>
          <w:highlight w:val="none"/>
        </w:rPr>
      </w:pPr>
      <w:bookmarkStart w:id="69" w:name="_Hlk16461707"/>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bookmarkEnd w:id="67"/>
    <w:bookmarkEnd w:id="69"/>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0" w:name="_Toc26650379"/>
      <w:bookmarkStart w:id="71" w:name="_Toc5156"/>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70"/>
      <w:bookmarkEnd w:id="71"/>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72" w:name="_Toc30789"/>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72"/>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73" w:name="_Toc5134"/>
      <w:r>
        <w:rPr>
          <w:rFonts w:hint="eastAsia" w:cs="Times New Roman" w:asciiTheme="minorEastAsia" w:hAnsiTheme="minorEastAsia" w:eastAsiaTheme="minorEastAsia"/>
          <w:b/>
          <w:color w:val="000000" w:themeColor="text1"/>
          <w:sz w:val="28"/>
          <w:szCs w:val="28"/>
          <w14:textFill>
            <w14:solidFill>
              <w14:schemeClr w14:val="tx1"/>
            </w14:solidFill>
          </w14:textFill>
        </w:rPr>
        <w:t>（货物类）</w:t>
      </w:r>
      <w:bookmarkEnd w:id="73"/>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74" w:name="_Toc8864"/>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74"/>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hint="default"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以下简称：甲方</w:t>
      </w:r>
      <w:r>
        <w:rPr>
          <w:rFonts w:hint="eastAsia" w:asciiTheme="minorEastAsia" w:hAnsiTheme="minorEastAsia" w:eastAsiaTheme="min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组织的询价方式采购活动，经询价小组评定，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以下简称：乙方</w:t>
      </w:r>
      <w:r>
        <w:rPr>
          <w:rFonts w:hint="eastAsia" w:asciiTheme="minorEastAsia" w:hAnsiTheme="minorEastAsia" w:eastAsiaTheme="minorEastAsia"/>
          <w:sz w:val="24"/>
        </w:rPr>
        <w:t>）为本项目成交供应商，现按照采购文件确定的事项签订本合同。</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75" w:name="_Toc2232"/>
      <w:bookmarkStart w:id="76" w:name="_Toc24059"/>
      <w:bookmarkStart w:id="77" w:name="_Toc3029"/>
      <w:r>
        <w:rPr>
          <w:rFonts w:hint="eastAsia" w:asciiTheme="minorEastAsia" w:hAnsiTheme="minorEastAsia" w:eastAsiaTheme="minorEastAsia"/>
          <w:b/>
          <w:bCs/>
          <w:color w:val="000000" w:themeColor="text1"/>
          <w:sz w:val="24"/>
          <w:lang w:val="zh-CN"/>
          <w14:textFill>
            <w14:solidFill>
              <w14:schemeClr w14:val="tx1"/>
            </w14:solidFill>
          </w14:textFill>
        </w:rPr>
        <w:t>1.1</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合同组成部分</w:t>
      </w:r>
      <w:bookmarkEnd w:id="75"/>
      <w:bookmarkEnd w:id="76"/>
      <w:bookmarkEnd w:id="77"/>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1.1.1本合同及其补充合同、变更协议；</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1.1.2成交通知书；</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1.1.3响应文件（含澄清或者说明文件）；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1.1.4询价通知书（含澄清或者修改文件）；</w:t>
      </w:r>
    </w:p>
    <w:p>
      <w:pPr>
        <w:spacing w:line="360" w:lineRule="auto"/>
        <w:ind w:firstLine="435"/>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1.1.5其他相关采购文件。</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78" w:name="_Toc24300"/>
      <w:bookmarkStart w:id="79" w:name="_Toc21295"/>
      <w:bookmarkStart w:id="80" w:name="_Toc27126"/>
      <w:r>
        <w:rPr>
          <w:rFonts w:hint="eastAsia" w:asciiTheme="minorEastAsia" w:hAnsiTheme="minorEastAsia" w:eastAsiaTheme="minorEastAsia"/>
          <w:b/>
          <w:bCs/>
          <w:color w:val="000000" w:themeColor="text1"/>
          <w:sz w:val="24"/>
          <w:lang w:val="zh-CN"/>
          <w14:textFill>
            <w14:solidFill>
              <w14:schemeClr w14:val="tx1"/>
            </w14:solidFill>
          </w14:textFill>
        </w:rPr>
        <w:t>1.2</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货物</w:t>
      </w:r>
      <w:bookmarkEnd w:id="78"/>
      <w:bookmarkEnd w:id="79"/>
      <w:bookmarkEnd w:id="80"/>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1662"/>
        <w:gridCol w:w="1662"/>
        <w:gridCol w:w="1658"/>
        <w:gridCol w:w="1658"/>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序号</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货物名称</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规格型号</w:t>
            </w: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单位</w:t>
            </w: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数量</w:t>
            </w:r>
          </w:p>
        </w:tc>
        <w:tc>
          <w:tcPr>
            <w:tcW w:w="886"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6"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2</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6"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3</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6"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w:t>
            </w: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9"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7"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c>
          <w:tcPr>
            <w:tcW w:w="886"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p>
        </w:tc>
      </w:tr>
    </w:tbl>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81" w:name="_Toc21551"/>
      <w:bookmarkStart w:id="82" w:name="_Toc21631"/>
      <w:bookmarkStart w:id="83" w:name="_Toc23292"/>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 xml:space="preserve">3 </w:t>
      </w:r>
      <w:r>
        <w:rPr>
          <w:rFonts w:hint="eastAsia" w:asciiTheme="minorEastAsia" w:hAnsiTheme="minorEastAsia" w:eastAsiaTheme="minorEastAsia"/>
          <w:b/>
          <w:bCs/>
          <w:color w:val="000000" w:themeColor="text1"/>
          <w:sz w:val="24"/>
          <w:lang w:val="zh-CN"/>
          <w14:textFill>
            <w14:solidFill>
              <w14:schemeClr w14:val="tx1"/>
            </w14:solidFill>
          </w14:textFill>
        </w:rPr>
        <w:t>价款</w:t>
      </w:r>
      <w:bookmarkEnd w:id="81"/>
      <w:bookmarkEnd w:id="82"/>
      <w:bookmarkEnd w:id="83"/>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本合同总价为</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元</w:t>
      </w:r>
      <w:r>
        <w:rPr>
          <w:rFonts w:hint="eastAsia" w:asciiTheme="minorEastAsia" w:hAnsiTheme="minorEastAsia" w:eastAsiaTheme="minorEastAsia"/>
          <w:color w:val="000000" w:themeColor="text1"/>
          <w:sz w:val="24"/>
          <w14:textFill>
            <w14:solidFill>
              <w14:schemeClr w14:val="tx1"/>
            </w14:solidFill>
          </w14:textFill>
        </w:rPr>
        <w:t>（大写：人民币</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元）</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分项价格：</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序号</w:t>
            </w:r>
          </w:p>
        </w:tc>
        <w:tc>
          <w:tcPr>
            <w:tcW w:w="2532" w:type="pct"/>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分项名称</w:t>
            </w:r>
          </w:p>
        </w:tc>
        <w:tc>
          <w:tcPr>
            <w:tcW w:w="1899" w:type="pct"/>
            <w:gridSpan w:val="2"/>
            <w:vAlign w:val="center"/>
          </w:tcPr>
          <w:p>
            <w:pPr>
              <w:pStyle w:val="40"/>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1</w:t>
            </w:r>
          </w:p>
        </w:tc>
        <w:tc>
          <w:tcPr>
            <w:tcW w:w="2532" w:type="pct"/>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2</w:t>
            </w:r>
          </w:p>
        </w:tc>
        <w:tc>
          <w:tcPr>
            <w:tcW w:w="2532" w:type="pct"/>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asciiTheme="minorEastAsia" w:hAnsiTheme="minorEastAsia" w:eastAsiaTheme="minorEastAsia"/>
                <w:color w:val="000000" w:themeColor="text1"/>
                <w:sz w:val="24"/>
                <w:lang w:val="zh-CN"/>
                <w14:textFill>
                  <w14:solidFill>
                    <w14:schemeClr w14:val="tx1"/>
                  </w14:solidFill>
                </w14:textFill>
              </w:rPr>
              <w:t>3</w:t>
            </w:r>
          </w:p>
        </w:tc>
        <w:tc>
          <w:tcPr>
            <w:tcW w:w="2532" w:type="pct"/>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w:t>
            </w:r>
          </w:p>
        </w:tc>
        <w:tc>
          <w:tcPr>
            <w:tcW w:w="2532" w:type="pct"/>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总价</w:t>
            </w:r>
          </w:p>
        </w:tc>
        <w:tc>
          <w:tcPr>
            <w:tcW w:w="1899" w:type="pct"/>
            <w:gridSpan w:val="2"/>
            <w:vAlign w:val="center"/>
          </w:tcPr>
          <w:p>
            <w:pPr>
              <w:pStyle w:val="40"/>
              <w:ind w:firstLine="200"/>
              <w:jc w:val="center"/>
              <w:rPr>
                <w:rFonts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84" w:name="_Toc22618"/>
      <w:bookmarkStart w:id="85" w:name="_Toc1814"/>
      <w:bookmarkStart w:id="86" w:name="_Toc10340"/>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4 付款方式和发票开具方式</w:t>
      </w:r>
      <w:bookmarkEnd w:id="84"/>
      <w:bookmarkEnd w:id="85"/>
      <w:bookmarkEnd w:id="8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1.4.1</w:t>
      </w:r>
      <w:r>
        <w:rPr>
          <w:rFonts w:asciiTheme="minorEastAsia" w:hAnsiTheme="minorEastAsia" w:eastAsiaTheme="minorEastAsia"/>
          <w:color w:val="000000" w:themeColor="text1"/>
          <w:sz w:val="24"/>
          <w14:textFill>
            <w14:solidFill>
              <w14:schemeClr w14:val="tx1"/>
            </w14:solidFill>
          </w14:textFill>
        </w:rPr>
        <w:t>付款方式：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1.4.2发票开具方式：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87" w:name="_Toc19304"/>
      <w:bookmarkStart w:id="88" w:name="_Toc32071"/>
      <w:bookmarkStart w:id="89" w:name="_Toc2846"/>
      <w:r>
        <w:rPr>
          <w:rFonts w:hint="eastAsia" w:asciiTheme="minorEastAsia" w:hAnsiTheme="minorEastAsia" w:eastAsiaTheme="minorEastAsia"/>
          <w:b/>
          <w:bCs/>
          <w:color w:val="000000" w:themeColor="text1"/>
          <w:sz w:val="24"/>
          <w:lang w:val="zh-CN"/>
          <w14:textFill>
            <w14:solidFill>
              <w14:schemeClr w14:val="tx1"/>
            </w14:solidFill>
          </w14:textFill>
        </w:rPr>
        <w:t>1.</w:t>
      </w:r>
      <w:r>
        <w:rPr>
          <w:rFonts w:asciiTheme="minorEastAsia" w:hAnsiTheme="minorEastAsia" w:eastAsiaTheme="minorEastAsia"/>
          <w:b/>
          <w:bCs/>
          <w:color w:val="000000" w:themeColor="text1"/>
          <w:sz w:val="24"/>
          <w:lang w:val="zh-CN"/>
          <w14:textFill>
            <w14:solidFill>
              <w14:schemeClr w14:val="tx1"/>
            </w14:solidFill>
          </w14:textFill>
        </w:rPr>
        <w:t>5 货物交付期限</w:t>
      </w:r>
      <w:r>
        <w:rPr>
          <w:rFonts w:hint="eastAsia" w:asciiTheme="minorEastAsia" w:hAnsiTheme="minorEastAsia" w:eastAsiaTheme="minorEastAsia"/>
          <w:b/>
          <w:bCs/>
          <w:color w:val="000000" w:themeColor="text1"/>
          <w:sz w:val="24"/>
          <w:lang w:val="zh-CN"/>
          <w14:textFill>
            <w14:solidFill>
              <w14:schemeClr w14:val="tx1"/>
            </w14:solidFill>
          </w14:textFill>
        </w:rPr>
        <w:t>、地点和方式</w:t>
      </w:r>
      <w:bookmarkEnd w:id="87"/>
      <w:bookmarkEnd w:id="88"/>
      <w:bookmarkEnd w:id="89"/>
    </w:p>
    <w:p>
      <w:pPr>
        <w:spacing w:line="360" w:lineRule="auto"/>
        <w:ind w:firstLine="435"/>
        <w:rPr>
          <w:rFonts w:asciiTheme="minorEastAsia" w:hAnsiTheme="minorEastAsia" w:eastAsiaTheme="minorEastAsia"/>
          <w:color w:val="000000" w:themeColor="text1"/>
          <w:sz w:val="24"/>
          <w:u w:val="single"/>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1.5.1交付期限</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1.5.2交付地点</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1.5.3交付方式：</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90" w:name="_Toc19554"/>
      <w:bookmarkStart w:id="91" w:name="_Toc27250"/>
      <w:bookmarkStart w:id="92" w:name="_Toc21423"/>
      <w:r>
        <w:rPr>
          <w:rFonts w:hint="eastAsia" w:asciiTheme="minorEastAsia" w:hAnsiTheme="minorEastAsia" w:eastAsiaTheme="minorEastAsia"/>
          <w:b/>
          <w:bCs/>
          <w:color w:val="000000" w:themeColor="text1"/>
          <w:sz w:val="24"/>
          <w:lang w:val="zh-CN"/>
          <w14:textFill>
            <w14:solidFill>
              <w14:schemeClr w14:val="tx1"/>
            </w14:solidFill>
          </w14:textFill>
        </w:rPr>
        <w:t>1.6 违约责任</w:t>
      </w:r>
      <w:bookmarkEnd w:id="90"/>
      <w:bookmarkEnd w:id="91"/>
      <w:bookmarkEnd w:id="9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1.6.1</w:t>
      </w:r>
      <w:r>
        <w:rPr>
          <w:rFonts w:asciiTheme="minorEastAsia" w:hAnsiTheme="minorEastAsia" w:eastAsiaTheme="minorEastAsia"/>
          <w:color w:val="000000" w:themeColor="text1"/>
          <w:sz w:val="24"/>
          <w14:textFill>
            <w14:solidFill>
              <w14:schemeClr w14:val="tx1"/>
            </w14:solidFill>
          </w14:textFill>
        </w:rPr>
        <w:t>除不可抗力外，如果乙方没有按照本合同约定的期限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地点和方式交付货物，那么甲方可要求乙方支付违约金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违约金按每迟延交付货物一日的应交付而未交付货物价格的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迟延交付货物的违约金计算数额达到前述最高限额之日起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甲方有权在要求乙方支付违约金的同时</w:t>
      </w:r>
      <w:r>
        <w:rPr>
          <w:rFonts w:hint="eastAsia" w:asciiTheme="minorEastAsia" w:hAnsiTheme="minorEastAsia" w:eastAsiaTheme="minorEastAsia"/>
          <w:color w:val="000000" w:themeColor="text1"/>
          <w:sz w:val="24"/>
          <w14:textFill>
            <w14:solidFill>
              <w14:schemeClr w14:val="tx1"/>
            </w14:solidFill>
          </w14:textFill>
        </w:rPr>
        <w:t>，书面通知乙方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1.6.2</w:t>
      </w:r>
      <w:r>
        <w:rPr>
          <w:rFonts w:asciiTheme="minorEastAsia" w:hAnsiTheme="minorEastAsia" w:eastAsiaTheme="minorEastAsia"/>
          <w:color w:val="000000" w:themeColor="text1"/>
          <w:sz w:val="24"/>
          <w14:textFill>
            <w14:solidFill>
              <w14:schemeClr w14:val="tx1"/>
            </w14:solidFill>
          </w14:textFill>
        </w:rPr>
        <w:t>除不可抗力外，如果甲方没有按照本合同约定的付款方式付款，那么乙方可要求甲方支付违约金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违约金按每迟延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一日的应付而未付款的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%计算</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最高限额为</w:t>
      </w:r>
      <w:r>
        <w:rPr>
          <w:rFonts w:hint="eastAsia" w:asciiTheme="minorEastAsia" w:hAnsiTheme="minorEastAsia" w:eastAsiaTheme="minorEastAsia"/>
          <w:color w:val="000000" w:themeColor="text1"/>
          <w:sz w:val="24"/>
          <w14:textFill>
            <w14:solidFill>
              <w14:schemeClr w14:val="tx1"/>
            </w14:solidFill>
          </w14:textFill>
        </w:rPr>
        <w:t>本</w:t>
      </w:r>
      <w:r>
        <w:rPr>
          <w:rFonts w:asciiTheme="minorEastAsia" w:hAnsiTheme="minorEastAsia" w:eastAsiaTheme="minorEastAsia"/>
          <w:color w:val="000000" w:themeColor="text1"/>
          <w:sz w:val="24"/>
          <w14:textFill>
            <w14:solidFill>
              <w14:schemeClr w14:val="tx1"/>
            </w14:solidFill>
          </w14:textFill>
        </w:rPr>
        <w:t>合同总价的</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迟延</w:t>
      </w:r>
      <w:r>
        <w:rPr>
          <w:rFonts w:hint="eastAsia" w:asciiTheme="minorEastAsia" w:hAnsiTheme="minorEastAsia" w:eastAsiaTheme="minorEastAsia"/>
          <w:color w:val="000000" w:themeColor="text1"/>
          <w:sz w:val="24"/>
          <w14:textFill>
            <w14:solidFill>
              <w14:schemeClr w14:val="tx1"/>
            </w14:solidFill>
          </w14:textFill>
        </w:rPr>
        <w:t>付款</w:t>
      </w:r>
      <w:r>
        <w:rPr>
          <w:rFonts w:asciiTheme="minorEastAsia" w:hAnsiTheme="minorEastAsia" w:eastAsiaTheme="minorEastAsia"/>
          <w:color w:val="000000" w:themeColor="text1"/>
          <w:sz w:val="24"/>
          <w14:textFill>
            <w14:solidFill>
              <w14:schemeClr w14:val="tx1"/>
            </w14:solidFill>
          </w14:textFill>
        </w:rPr>
        <w:t>的违约金计算数额达到前述最高限额之日起</w:t>
      </w:r>
      <w:r>
        <w:rPr>
          <w:rFonts w:hint="eastAsia" w:asciiTheme="minorEastAsia" w:hAnsiTheme="minorEastAsia" w:eastAsiaTheme="minorEastAsia"/>
          <w:color w:val="000000" w:themeColor="text1"/>
          <w:sz w:val="24"/>
          <w14:textFill>
            <w14:solidFill>
              <w14:schemeClr w14:val="tx1"/>
            </w14:solidFill>
          </w14:textFill>
        </w:rPr>
        <w:t>，乙</w:t>
      </w:r>
      <w:r>
        <w:rPr>
          <w:rFonts w:asciiTheme="minorEastAsia" w:hAnsiTheme="minorEastAsia" w:eastAsiaTheme="minorEastAsia"/>
          <w:color w:val="000000" w:themeColor="text1"/>
          <w:sz w:val="24"/>
          <w14:textFill>
            <w14:solidFill>
              <w14:schemeClr w14:val="tx1"/>
            </w14:solidFill>
          </w14:textFill>
        </w:rPr>
        <w:t>方有权在要求甲方支付违约金的同时</w:t>
      </w:r>
      <w:r>
        <w:rPr>
          <w:rFonts w:hint="eastAsia" w:asciiTheme="minorEastAsia" w:hAnsiTheme="minorEastAsia" w:eastAsiaTheme="minorEastAsia"/>
          <w:color w:val="000000" w:themeColor="text1"/>
          <w:sz w:val="24"/>
          <w14:textFill>
            <w14:solidFill>
              <w14:schemeClr w14:val="tx1"/>
            </w14:solidFill>
          </w14:textFill>
        </w:rPr>
        <w:t>，书面通知甲方</w:t>
      </w:r>
      <w:r>
        <w:rPr>
          <w:rFonts w:asciiTheme="minorEastAsia" w:hAnsiTheme="minorEastAsia" w:eastAsiaTheme="minorEastAsia"/>
          <w:color w:val="000000" w:themeColor="text1"/>
          <w:sz w:val="24"/>
          <w14:textFill>
            <w14:solidFill>
              <w14:schemeClr w14:val="tx1"/>
            </w14:solidFill>
          </w14:textFill>
        </w:rPr>
        <w:t>解除本合同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1.6.7因甲方未按合同约定支付价款、未按合同约定受领标的物、擅自解除合同</w:t>
      </w:r>
      <w:r>
        <w:rPr>
          <w:rFonts w:hint="eastAsia" w:asciiTheme="minorEastAsia" w:hAnsiTheme="minorEastAsia" w:eastAsiaTheme="minorEastAsia"/>
          <w:color w:val="000000" w:themeColor="text1"/>
          <w:sz w:val="24"/>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asciiTheme="minorEastAsia" w:hAnsiTheme="minorEastAsia" w:eastAsiaTheme="minorEastAsia"/>
          <w:color w:val="000000" w:themeColor="text1"/>
          <w:sz w:val="24"/>
          <w14:textFill>
            <w14:solidFill>
              <w14:schemeClr w14:val="tx1"/>
            </w14:solidFill>
          </w14:textFill>
        </w:rPr>
        <w:t>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93" w:name="_Toc16021"/>
      <w:bookmarkStart w:id="94" w:name="_Toc28375"/>
      <w:bookmarkStart w:id="95" w:name="_Toc15583"/>
      <w:r>
        <w:rPr>
          <w:rFonts w:hint="eastAsia" w:asciiTheme="minorEastAsia" w:hAnsiTheme="minorEastAsia" w:eastAsiaTheme="minorEastAsia"/>
          <w:b/>
          <w:bCs/>
          <w:color w:val="000000" w:themeColor="text1"/>
          <w:sz w:val="24"/>
          <w:lang w:val="zh-CN"/>
          <w14:textFill>
            <w14:solidFill>
              <w14:schemeClr w14:val="tx1"/>
            </w14:solidFill>
          </w14:textFill>
        </w:rPr>
        <w:t>1.7</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w:t>
      </w:r>
      <w:r>
        <w:rPr>
          <w:rFonts w:asciiTheme="minorEastAsia" w:hAnsiTheme="minorEastAsia" w:eastAsiaTheme="minorEastAsia"/>
          <w:b/>
          <w:bCs/>
          <w:color w:val="000000" w:themeColor="text1"/>
          <w:sz w:val="24"/>
          <w:lang w:val="zh-CN"/>
          <w14:textFill>
            <w14:solidFill>
              <w14:schemeClr w14:val="tx1"/>
            </w14:solidFill>
          </w14:textFill>
        </w:rPr>
        <w:t>争议的解决</w:t>
      </w:r>
      <w:bookmarkEnd w:id="93"/>
      <w:bookmarkEnd w:id="94"/>
      <w:bookmarkEnd w:id="9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本合</w:t>
      </w:r>
      <w:r>
        <w:rPr>
          <w:rFonts w:asciiTheme="minorEastAsia" w:hAnsiTheme="minorEastAsia" w:eastAsiaTheme="minorEastAsia"/>
          <w:color w:val="000000" w:themeColor="text1"/>
          <w:sz w:val="24"/>
          <w14:textFill>
            <w14:solidFill>
              <w14:schemeClr w14:val="tx1"/>
            </w14:solidFill>
          </w14:textFill>
        </w:rPr>
        <w:t>同履行过程中发生的任何争议，双方当事人均可</w:t>
      </w:r>
      <w:r>
        <w:rPr>
          <w:rFonts w:hint="eastAsia" w:asciiTheme="minorEastAsia" w:hAnsiTheme="minorEastAsia" w:eastAsiaTheme="minorEastAsia"/>
          <w:color w:val="000000" w:themeColor="text1"/>
          <w:sz w:val="24"/>
          <w14:textFill>
            <w14:solidFill>
              <w14:schemeClr w14:val="tx1"/>
            </w14:solidFill>
          </w14:textFill>
        </w:rPr>
        <w:t>通过和解或者调解解决；不愿和解、调解或者和解、调解不成的，可以选择下列第</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种方式解决：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1.7.1将争议提交</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仲裁委员会依申请仲裁时其现行有效的仲裁规则裁决；</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1.7.2向</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人民法院起诉。</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96" w:name="_Toc15322"/>
      <w:bookmarkStart w:id="97" w:name="_Toc7245"/>
      <w:bookmarkStart w:id="98" w:name="_Toc11173"/>
      <w:r>
        <w:rPr>
          <w:rFonts w:hint="eastAsia" w:asciiTheme="minorEastAsia" w:hAnsiTheme="minorEastAsia" w:eastAsiaTheme="minorEastAsia"/>
          <w:b/>
          <w:bCs/>
          <w:color w:val="000000" w:themeColor="text1"/>
          <w:sz w:val="24"/>
          <w:lang w:val="zh-CN"/>
          <w14:textFill>
            <w14:solidFill>
              <w14:schemeClr w14:val="tx1"/>
            </w14:solidFill>
          </w14:textFill>
        </w:rPr>
        <w:t>1.8</w:t>
      </w:r>
      <w:r>
        <w:rPr>
          <w:rFonts w:asciiTheme="minorEastAsia" w:hAnsiTheme="minorEastAsia" w:eastAsiaTheme="minorEastAsia"/>
          <w:b/>
          <w:bCs/>
          <w:color w:val="000000" w:themeColor="text1"/>
          <w:sz w:val="24"/>
          <w:lang w:val="zh-CN"/>
          <w14:textFill>
            <w14:solidFill>
              <w14:schemeClr w14:val="tx1"/>
            </w14:solidFill>
          </w14:textFill>
        </w:rPr>
        <w:t xml:space="preserve"> 合同生效</w:t>
      </w:r>
      <w:bookmarkEnd w:id="96"/>
      <w:bookmarkEnd w:id="97"/>
      <w:bookmarkEnd w:id="98"/>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本合同自</w:t>
      </w:r>
      <w:r>
        <w:rPr>
          <w:rFonts w:hint="eastAsia" w:asciiTheme="minorEastAsia" w:hAnsiTheme="minorEastAsia" w:eastAsiaTheme="minorEastAsia"/>
          <w:color w:val="000000" w:themeColor="text1"/>
          <w:sz w:val="24"/>
          <w14:textFill>
            <w14:solidFill>
              <w14:schemeClr w14:val="tx1"/>
            </w14:solidFill>
          </w14:textFill>
        </w:rPr>
        <w:t>双方当事人盖章时</w:t>
      </w:r>
      <w:r>
        <w:rPr>
          <w:rFonts w:asciiTheme="minorEastAsia" w:hAnsiTheme="minorEastAsia" w:eastAsiaTheme="minorEastAsia"/>
          <w:color w:val="000000" w:themeColor="text1"/>
          <w:sz w:val="24"/>
          <w14:textFill>
            <w14:solidFill>
              <w14:schemeClr w14:val="tx1"/>
            </w14:solidFill>
          </w14:textFill>
        </w:rPr>
        <w:t>生效。</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inorEastAsia" w:hAnsiTheme="minorEastAsia" w:eastAsiaTheme="minorEastAsia"/>
          <w:bCs/>
          <w:color w:val="000000" w:themeColor="text1"/>
          <w:sz w:val="24"/>
          <w:lang w:val="zh-CN"/>
          <w14:textFill>
            <w14:solidFill>
              <w14:schemeClr w14:val="tx1"/>
            </w14:solidFill>
          </w14:textFill>
        </w:rPr>
      </w:pPr>
      <w:r>
        <w:rPr>
          <w:rFonts w:hint="eastAsia" w:asciiTheme="minorEastAsia" w:hAnsiTheme="minorEastAsia" w:eastAsiaTheme="minorEastAsia"/>
          <w:bCs/>
          <w:color w:val="000000" w:themeColor="text1"/>
          <w:sz w:val="24"/>
          <w:lang w:val="zh-CN"/>
          <w14:textFill>
            <w14:solidFill>
              <w14:schemeClr w14:val="tx1"/>
            </w14:solidFill>
          </w14:textFill>
        </w:rPr>
        <w:t xml:space="preserve">甲 </w:t>
      </w:r>
      <w:r>
        <w:rPr>
          <w:rFonts w:asciiTheme="minorEastAsia" w:hAnsiTheme="minorEastAsia" w:eastAsiaTheme="minorEastAsia"/>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Cs/>
          <w:color w:val="000000" w:themeColor="text1"/>
          <w:sz w:val="24"/>
          <w:lang w:val="zh-CN"/>
          <w14:textFill>
            <w14:solidFill>
              <w14:schemeClr w14:val="tx1"/>
            </w14:solidFill>
          </w14:textFill>
        </w:rPr>
        <w:t>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r>
        <w:rPr>
          <w:rFonts w:hint="eastAsia" w:asciiTheme="minorEastAsia" w:hAnsiTheme="minorEastAsia" w:eastAsiaTheme="minorEastAsia"/>
          <w:bCs/>
          <w:color w:val="000000" w:themeColor="text1"/>
          <w:sz w:val="24"/>
          <w:lang w:val="zh-CN"/>
          <w14:textFill>
            <w14:solidFill>
              <w14:schemeClr w14:val="tx1"/>
            </w14:solidFill>
          </w14:textFill>
        </w:rPr>
        <w:t xml:space="preserve">          乙方：</w:t>
      </w:r>
      <w:r>
        <w:rPr>
          <w:rFonts w:hint="eastAsia" w:asciiTheme="minorEastAsia" w:hAnsiTheme="minorEastAsia" w:eastAsiaTheme="minorEastAsia"/>
          <w:bCs/>
          <w:color w:val="000000" w:themeColor="text1"/>
          <w:sz w:val="24"/>
          <w:u w:val="single"/>
          <w:lang w:val="zh-CN"/>
          <w14:textFill>
            <w14:solidFill>
              <w14:schemeClr w14:val="tx1"/>
            </w14:solidFill>
          </w14:textFill>
        </w:rPr>
        <w:t xml:space="preserve">    （单位盖章）     </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 xml:space="preserve">法定代表人                             </w:t>
      </w:r>
      <w:r>
        <w:rPr>
          <w:rFonts w:asciiTheme="minorEastAsia" w:hAnsiTheme="minorEastAsia" w:eastAsiaTheme="minorEastAsia"/>
          <w:color w:val="000000" w:themeColor="text1"/>
          <w:sz w:val="24"/>
          <w:lang w:val="zh-CN"/>
          <w14:textFill>
            <w14:solidFill>
              <w14:schemeClr w14:val="tx1"/>
            </w14:solidFill>
          </w14:textFill>
        </w:rPr>
        <w:t xml:space="preserve">  </w:t>
      </w:r>
      <w:r>
        <w:rPr>
          <w:rFonts w:hint="eastAsia" w:asciiTheme="minorEastAsia" w:hAnsiTheme="minorEastAsia" w:eastAsiaTheme="minorEastAsia"/>
          <w:color w:val="000000" w:themeColor="text1"/>
          <w:sz w:val="24"/>
          <w:lang w:val="zh-CN"/>
          <w14:textFill>
            <w14:solidFill>
              <w14:schemeClr w14:val="tx1"/>
            </w14:solidFill>
          </w14:textFill>
        </w:rPr>
        <w:t>法定代表人</w:t>
      </w:r>
    </w:p>
    <w:p>
      <w:pPr>
        <w:autoSpaceDE w:val="0"/>
        <w:autoSpaceDN w:val="0"/>
        <w:adjustRightInd w:val="0"/>
        <w:spacing w:line="560" w:lineRule="exact"/>
        <w:rPr>
          <w:rFonts w:asciiTheme="minorEastAsia" w:hAnsiTheme="minorEastAsia" w:eastAsiaTheme="minorEastAsia"/>
          <w:color w:val="000000" w:themeColor="text1"/>
          <w:sz w:val="24"/>
          <w:lang w:val="zh-CN"/>
          <w14:textFill>
            <w14:solidFill>
              <w14:schemeClr w14:val="tx1"/>
            </w14:solidFill>
          </w14:textFill>
        </w:rPr>
      </w:pPr>
      <w:r>
        <w:rPr>
          <w:rFonts w:hint="eastAsia" w:asciiTheme="minorEastAsia" w:hAnsiTheme="minorEastAsia" w:eastAsiaTheme="minorEastAsia"/>
          <w:color w:val="000000" w:themeColor="text1"/>
          <w:sz w:val="24"/>
          <w:lang w:val="zh-CN"/>
          <w14:textFill>
            <w14:solidFill>
              <w14:schemeClr w14:val="tx1"/>
            </w14:solidFill>
          </w14:textFill>
        </w:rPr>
        <w:t>或授权代表（签字）：                      或授权代表（签字）：</w:t>
      </w:r>
    </w:p>
    <w:p>
      <w:pPr>
        <w:widowControl/>
        <w:spacing w:line="560" w:lineRule="exact"/>
        <w:jc w:val="left"/>
        <w:rPr>
          <w:rFonts w:asciiTheme="minorEastAsia" w:hAnsiTheme="minorEastAsia" w:eastAsiaTheme="minorEastAsia"/>
          <w:bCs/>
          <w:color w:val="000000" w:themeColor="text1"/>
          <w:sz w:val="24"/>
          <w14:textFill>
            <w14:solidFill>
              <w14:schemeClr w14:val="tx1"/>
            </w14:solidFill>
          </w14:textFill>
        </w:rPr>
      </w:pPr>
      <w:bookmarkStart w:id="99" w:name="_Toc331685783"/>
      <w:r>
        <w:rPr>
          <w:rFonts w:hint="eastAsia" w:asciiTheme="minorEastAsia" w:hAnsiTheme="minorEastAsia" w:eastAsiaTheme="minorEastAsia"/>
          <w:bCs/>
          <w:color w:val="000000" w:themeColor="text1"/>
          <w:sz w:val="24"/>
          <w14:textFill>
            <w14:solidFill>
              <w14:schemeClr w14:val="tx1"/>
            </w14:solidFill>
          </w14:textFill>
        </w:rPr>
        <w:t>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               时间：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年</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月</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u w:val="single"/>
          <w14:textFill>
            <w14:solidFill>
              <w14:schemeClr w14:val="tx1"/>
            </w14:solidFill>
          </w14:textFill>
        </w:rPr>
        <w:t xml:space="preserve">  </w:t>
      </w:r>
      <w:r>
        <w:rPr>
          <w:rFonts w:hint="eastAsia" w:asciiTheme="minorEastAsia" w:hAnsiTheme="minorEastAsia" w:eastAsiaTheme="minorEastAsia"/>
          <w:bCs/>
          <w:color w:val="000000" w:themeColor="text1"/>
          <w:sz w:val="24"/>
          <w14:textFill>
            <w14:solidFill>
              <w14:schemeClr w14:val="tx1"/>
            </w14:solidFill>
          </w14:textFill>
        </w:rPr>
        <w:t>日</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乙方账户信息</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户名：</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账号：</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开户银行：</w:t>
      </w:r>
      <w:r>
        <w:rPr>
          <w:rFonts w:hint="eastAsia" w:ascii="宋体" w:hAnsi="宋体" w:eastAsia="宋体"/>
          <w:color w:val="000000" w:themeColor="text1"/>
          <w:sz w:val="24"/>
          <w:szCs w:val="24"/>
          <w:u w:val="single"/>
          <w14:textFill>
            <w14:solidFill>
              <w14:schemeClr w14:val="tx1"/>
            </w14:solidFill>
          </w14:textFill>
        </w:rPr>
        <w:t xml:space="preserve">        </w:t>
      </w:r>
    </w:p>
    <w:p>
      <w:pPr>
        <w:widowControl/>
        <w:jc w:val="left"/>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br w:type="page"/>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100" w:name="_Toc25045"/>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99"/>
      <w:bookmarkEnd w:id="100"/>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01" w:name="_Toc28763"/>
      <w:bookmarkStart w:id="102" w:name="_Toc279701240"/>
      <w:bookmarkStart w:id="103" w:name="_Ref467378499"/>
      <w:bookmarkStart w:id="104" w:name="_Toc19614"/>
      <w:bookmarkStart w:id="105" w:name="_Ref467379109"/>
      <w:bookmarkStart w:id="106" w:name="_Toc16917"/>
      <w:bookmarkStart w:id="107" w:name="_Ref467379205"/>
      <w:bookmarkStart w:id="108" w:name="_Toc259093669"/>
      <w:bookmarkStart w:id="109" w:name="_Ref467379214"/>
      <w:bookmarkStart w:id="110" w:name="_Ref467378404"/>
      <w:bookmarkStart w:id="111" w:name="_Ref467379225"/>
      <w:bookmarkStart w:id="112" w:name="_Ref467379101"/>
      <w:bookmarkStart w:id="113" w:name="_Ref467378463"/>
      <w:bookmarkStart w:id="114" w:name="_Ref467379094"/>
      <w:bookmarkStart w:id="115" w:name="_Ref467379195"/>
      <w:bookmarkStart w:id="116" w:name="_Toc487900349"/>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 xml:space="preserve"> 定义</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本合同中的下列</w:t>
      </w:r>
      <w:r>
        <w:rPr>
          <w:rFonts w:hint="eastAsia" w:asciiTheme="minorEastAsia" w:hAnsiTheme="minorEastAsia" w:eastAsiaTheme="minorEastAsia"/>
          <w:color w:val="000000" w:themeColor="text1"/>
          <w:sz w:val="24"/>
          <w14:textFill>
            <w14:solidFill>
              <w14:schemeClr w14:val="tx1"/>
            </w14:solidFill>
          </w14:textFill>
        </w:rPr>
        <w:t>词</w:t>
      </w:r>
      <w:r>
        <w:rPr>
          <w:rFonts w:asciiTheme="minorEastAsia" w:hAnsiTheme="minorEastAsia" w:eastAsiaTheme="minorEastAsia"/>
          <w:color w:val="000000" w:themeColor="text1"/>
          <w:sz w:val="24"/>
          <w14:textFill>
            <w14:solidFill>
              <w14:schemeClr w14:val="tx1"/>
            </w14:solidFill>
          </w14:textFill>
        </w:rPr>
        <w:t>语应</w:t>
      </w:r>
      <w:r>
        <w:rPr>
          <w:rFonts w:hint="eastAsia" w:asciiTheme="minorEastAsia" w:hAnsiTheme="minorEastAsia" w:eastAsiaTheme="minorEastAsia"/>
          <w:color w:val="000000" w:themeColor="text1"/>
          <w:sz w:val="24"/>
          <w14:textFill>
            <w14:solidFill>
              <w14:schemeClr w14:val="tx1"/>
            </w14:solidFill>
          </w14:textFill>
        </w:rPr>
        <w:t>按以下内容进行</w:t>
      </w:r>
      <w:r>
        <w:rPr>
          <w:rFonts w:asciiTheme="minorEastAsia" w:hAnsiTheme="minorEastAsia" w:eastAsiaTheme="minorEastAsia"/>
          <w:color w:val="000000" w:themeColor="text1"/>
          <w:sz w:val="24"/>
          <w14:textFill>
            <w14:solidFill>
              <w14:schemeClr w14:val="tx1"/>
            </w14:solidFill>
          </w14:textFill>
        </w:rPr>
        <w:t>解释：</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.1</w:t>
      </w:r>
      <w:r>
        <w:rPr>
          <w:rFonts w:asciiTheme="minorEastAsia" w:hAnsiTheme="minorEastAsia" w:eastAsiaTheme="minorEastAsia"/>
          <w:color w:val="000000" w:themeColor="text1"/>
          <w:sz w:val="24"/>
          <w14:textFill>
            <w14:solidFill>
              <w14:schemeClr w14:val="tx1"/>
            </w14:solidFill>
          </w14:textFill>
        </w:rPr>
        <w:t>“合同”系指采购人和</w:t>
      </w:r>
      <w:r>
        <w:rPr>
          <w:rFonts w:hint="eastAsia" w:asciiTheme="minorEastAsia" w:hAnsiTheme="minorEastAsia" w:eastAsiaTheme="minorEastAsia"/>
          <w:color w:val="000000" w:themeColor="text1"/>
          <w:sz w:val="24"/>
          <w14:textFill>
            <w14:solidFill>
              <w14:schemeClr w14:val="tx1"/>
            </w14:solidFill>
          </w14:textFill>
        </w:rPr>
        <w:t>成交</w:t>
      </w:r>
      <w:r>
        <w:rPr>
          <w:rFonts w:asciiTheme="minorEastAsia" w:hAnsiTheme="minorEastAsia" w:eastAsiaTheme="minorEastAsia"/>
          <w:color w:val="000000" w:themeColor="text1"/>
          <w:sz w:val="24"/>
          <w14:textFill>
            <w14:solidFill>
              <w14:schemeClr w14:val="tx1"/>
            </w14:solidFill>
          </w14:textFill>
        </w:rPr>
        <w:t>供应商签订的载明双方当事人所达成的协议，并包括所有的附件、附录和构成合同的其他文件。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1.2“合同价”系指根据合同约定，</w:t>
      </w:r>
      <w:r>
        <w:rPr>
          <w:rFonts w:hint="eastAsia" w:asciiTheme="minorEastAsia" w:hAnsiTheme="minorEastAsia" w:eastAsiaTheme="minorEastAsia"/>
          <w:color w:val="000000" w:themeColor="text1"/>
          <w:sz w:val="24"/>
          <w14:textFill>
            <w14:solidFill>
              <w14:schemeClr w14:val="tx1"/>
            </w14:solidFill>
          </w14:textFill>
        </w:rPr>
        <w:t>成交</w:t>
      </w:r>
      <w:r>
        <w:rPr>
          <w:rFonts w:asciiTheme="minorEastAsia" w:hAnsiTheme="minorEastAsia" w:eastAsiaTheme="minorEastAsia"/>
          <w:color w:val="000000" w:themeColor="text1"/>
          <w:sz w:val="24"/>
          <w14:textFill>
            <w14:solidFill>
              <w14:schemeClr w14:val="tx1"/>
            </w14:solidFill>
          </w14:textFill>
        </w:rPr>
        <w:t>供应商在完全履行合同义务后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采购人应支付给</w:t>
      </w:r>
      <w:r>
        <w:rPr>
          <w:rFonts w:hint="eastAsia" w:asciiTheme="minorEastAsia" w:hAnsiTheme="minorEastAsia" w:eastAsiaTheme="minorEastAsia"/>
          <w:color w:val="000000" w:themeColor="text1"/>
          <w:sz w:val="24"/>
          <w14:textFill>
            <w14:solidFill>
              <w14:schemeClr w14:val="tx1"/>
            </w14:solidFill>
          </w14:textFill>
        </w:rPr>
        <w:t>成交</w:t>
      </w:r>
      <w:r>
        <w:rPr>
          <w:rFonts w:asciiTheme="minorEastAsia" w:hAnsiTheme="minorEastAsia" w:eastAsiaTheme="minorEastAsia"/>
          <w:color w:val="000000" w:themeColor="text1"/>
          <w:sz w:val="24"/>
          <w14:textFill>
            <w14:solidFill>
              <w14:schemeClr w14:val="tx1"/>
            </w14:solidFill>
          </w14:textFill>
        </w:rPr>
        <w:t>供应商的价格。</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1.3“货物”系指</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根据合同约定应向采购人交付的一切</w:t>
      </w:r>
      <w:r>
        <w:rPr>
          <w:rFonts w:hint="eastAsia" w:asciiTheme="minorEastAsia" w:hAnsiTheme="minorEastAsia" w:eastAsiaTheme="minorEastAsia"/>
          <w:color w:val="000000" w:themeColor="text1"/>
          <w:sz w:val="24"/>
          <w14:textFill>
            <w14:solidFill>
              <w14:schemeClr w14:val="tx1"/>
            </w14:solidFill>
          </w14:textFill>
        </w:rPr>
        <w:t>各种形态和种类的物品，包括原材料、燃料、设备、</w:t>
      </w:r>
      <w:r>
        <w:rPr>
          <w:rFonts w:asciiTheme="minorEastAsia" w:hAnsiTheme="minorEastAsia" w:eastAsiaTheme="minorEastAsia"/>
          <w:color w:val="000000" w:themeColor="text1"/>
          <w:sz w:val="24"/>
          <w14:textFill>
            <w14:solidFill>
              <w14:schemeClr w14:val="tx1"/>
            </w14:solidFill>
          </w14:textFill>
        </w:rPr>
        <w:t>机械、仪表、备件</w:t>
      </w:r>
      <w:r>
        <w:rPr>
          <w:rFonts w:hint="eastAsia" w:asciiTheme="minorEastAsia" w:hAnsiTheme="minorEastAsia" w:eastAsiaTheme="minorEastAsia"/>
          <w:color w:val="000000" w:themeColor="text1"/>
          <w:sz w:val="24"/>
          <w14:textFill>
            <w14:solidFill>
              <w14:schemeClr w14:val="tx1"/>
            </w14:solidFill>
          </w14:textFill>
        </w:rPr>
        <w:t>、计算机软件、产品等</w:t>
      </w:r>
      <w:r>
        <w:rPr>
          <w:rFonts w:asciiTheme="minorEastAsia" w:hAnsiTheme="minorEastAsia" w:eastAsiaTheme="minorEastAsia"/>
          <w:color w:val="000000" w:themeColor="text1"/>
          <w:sz w:val="24"/>
          <w14:textFill>
            <w14:solidFill>
              <w14:schemeClr w14:val="tx1"/>
            </w14:solidFill>
          </w14:textFill>
        </w:rPr>
        <w:t>，并包括工具、手册等其他相关资料。</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17" w:name="_Ref46737884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甲方</w:t>
      </w:r>
      <w:r>
        <w:rPr>
          <w:rFonts w:asciiTheme="minorEastAsia" w:hAnsiTheme="minorEastAsia" w:eastAsiaTheme="minorEastAsia"/>
          <w:color w:val="000000" w:themeColor="text1"/>
          <w:sz w:val="24"/>
          <w14:textFill>
            <w14:solidFill>
              <w14:schemeClr w14:val="tx1"/>
            </w14:solidFill>
          </w14:textFill>
        </w:rPr>
        <w:t>”系指与</w:t>
      </w:r>
      <w:r>
        <w:rPr>
          <w:rFonts w:hint="eastAsia" w:asciiTheme="minorEastAsia" w:hAnsiTheme="minorEastAsia" w:eastAsiaTheme="minorEastAsia"/>
          <w:color w:val="000000" w:themeColor="text1"/>
          <w:sz w:val="24"/>
          <w14:textFill>
            <w14:solidFill>
              <w14:schemeClr w14:val="tx1"/>
            </w14:solidFill>
          </w14:textFill>
        </w:rPr>
        <w:t>成交供应商</w:t>
      </w:r>
      <w:r>
        <w:rPr>
          <w:rFonts w:asciiTheme="minorEastAsia" w:hAnsiTheme="minorEastAsia" w:eastAsiaTheme="minorEastAsia"/>
          <w:color w:val="000000" w:themeColor="text1"/>
          <w:sz w:val="24"/>
          <w14:textFill>
            <w14:solidFill>
              <w14:schemeClr w14:val="tx1"/>
            </w14:solidFill>
          </w14:textFill>
        </w:rPr>
        <w:t>签署合同的采购人</w:t>
      </w:r>
      <w:bookmarkEnd w:id="117"/>
      <w:r>
        <w:rPr>
          <w:rFonts w:hint="eastAsia" w:asciiTheme="minorEastAsia" w:hAnsiTheme="minorEastAsia" w:eastAsiaTheme="minorEastAsia"/>
          <w:color w:val="000000" w:themeColor="text1"/>
          <w:sz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18" w:name="_Ref467379400"/>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5</w:t>
      </w:r>
      <w:r>
        <w:rPr>
          <w:rFonts w:asciiTheme="minorEastAsia" w:hAnsiTheme="minorEastAsia" w:eastAsiaTheme="minorEastAsia"/>
          <w:color w:val="000000" w:themeColor="text1"/>
          <w:sz w:val="24"/>
          <w14:textFill>
            <w14:solidFill>
              <w14:schemeClr w14:val="tx1"/>
            </w14:solidFill>
          </w14:textFill>
        </w:rPr>
        <w:t>“乙方”系指根据合同约定交付货物的</w:t>
      </w:r>
      <w:r>
        <w:rPr>
          <w:rFonts w:hint="eastAsia" w:asciiTheme="minorEastAsia" w:hAnsiTheme="minorEastAsia" w:eastAsiaTheme="minorEastAsia"/>
          <w:color w:val="000000" w:themeColor="text1"/>
          <w:sz w:val="24"/>
          <w14:textFill>
            <w14:solidFill>
              <w14:schemeClr w14:val="tx1"/>
            </w14:solidFill>
          </w14:textFill>
        </w:rPr>
        <w:t>成交</w:t>
      </w:r>
      <w:r>
        <w:rPr>
          <w:rFonts w:asciiTheme="minorEastAsia" w:hAnsiTheme="minorEastAsia" w:eastAsiaTheme="minorEastAsia"/>
          <w:color w:val="000000" w:themeColor="text1"/>
          <w:sz w:val="24"/>
          <w14:textFill>
            <w14:solidFill>
              <w14:schemeClr w14:val="tx1"/>
            </w14:solidFill>
          </w14:textFill>
        </w:rPr>
        <w:t>供应商</w:t>
      </w:r>
      <w:bookmarkEnd w:id="118"/>
      <w:r>
        <w:rPr>
          <w:rFonts w:hint="eastAsia" w:asciiTheme="minorEastAsia" w:hAnsiTheme="minorEastAsia" w:eastAsiaTheme="minorEastAsia"/>
          <w:color w:val="000000" w:themeColor="text1"/>
          <w:sz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19" w:name="_Ref467379436"/>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6</w:t>
      </w:r>
      <w:r>
        <w:rPr>
          <w:rFonts w:asciiTheme="minorEastAsia" w:hAnsiTheme="minorEastAsia" w:eastAsiaTheme="minorEastAsia"/>
          <w:color w:val="000000" w:themeColor="text1"/>
          <w:sz w:val="24"/>
          <w14:textFill>
            <w14:solidFill>
              <w14:schemeClr w14:val="tx1"/>
            </w14:solidFill>
          </w14:textFill>
        </w:rPr>
        <w:t>“现场”系指合同约定货物将要运至</w:t>
      </w:r>
      <w:r>
        <w:rPr>
          <w:rFonts w:hint="eastAsia" w:asciiTheme="minorEastAsia" w:hAnsiTheme="minorEastAsia" w:eastAsiaTheme="minorEastAsia"/>
          <w:color w:val="000000" w:themeColor="text1"/>
          <w:sz w:val="24"/>
          <w14:textFill>
            <w14:solidFill>
              <w14:schemeClr w14:val="tx1"/>
            </w14:solidFill>
          </w14:textFill>
        </w:rPr>
        <w:t>或者</w:t>
      </w:r>
      <w:r>
        <w:rPr>
          <w:rFonts w:asciiTheme="minorEastAsia" w:hAnsiTheme="minorEastAsia" w:eastAsiaTheme="minorEastAsia"/>
          <w:color w:val="000000" w:themeColor="text1"/>
          <w:sz w:val="24"/>
          <w14:textFill>
            <w14:solidFill>
              <w14:schemeClr w14:val="tx1"/>
            </w14:solidFill>
          </w14:textFill>
        </w:rPr>
        <w:t>安装的地点。</w:t>
      </w:r>
      <w:bookmarkEnd w:id="119"/>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20" w:name="_Toc279701241"/>
      <w:bookmarkStart w:id="121" w:name="_Toc32504"/>
      <w:bookmarkStart w:id="122" w:name="_Toc487900350"/>
      <w:bookmarkStart w:id="123" w:name="_Toc27635"/>
      <w:bookmarkStart w:id="124" w:name="_Toc13336"/>
      <w:bookmarkStart w:id="125" w:name="_Toc259093670"/>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2 技术规范</w:t>
      </w:r>
      <w:bookmarkEnd w:id="120"/>
      <w:bookmarkEnd w:id="121"/>
      <w:bookmarkEnd w:id="122"/>
      <w:bookmarkEnd w:id="123"/>
      <w:bookmarkEnd w:id="124"/>
      <w:bookmarkEnd w:id="12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如果采购文件中没有技术规范的相应说明，那么应以国家有关部门最新颁布的相应标准</w:t>
      </w:r>
      <w:r>
        <w:rPr>
          <w:rFonts w:hint="eastAsia" w:asciiTheme="minorEastAsia" w:hAnsiTheme="minorEastAsia" w:eastAsiaTheme="minorEastAsia"/>
          <w:color w:val="000000" w:themeColor="text1"/>
          <w:sz w:val="24"/>
          <w14:textFill>
            <w14:solidFill>
              <w14:schemeClr w14:val="tx1"/>
            </w14:solidFill>
          </w14:textFill>
        </w:rPr>
        <w:t>和</w:t>
      </w:r>
      <w:r>
        <w:rPr>
          <w:rFonts w:asciiTheme="minorEastAsia" w:hAnsiTheme="minorEastAsia" w:eastAsiaTheme="minorEastAsia"/>
          <w:color w:val="000000" w:themeColor="text1"/>
          <w:sz w:val="24"/>
          <w14:textFill>
            <w14:solidFill>
              <w14:schemeClr w14:val="tx1"/>
            </w14:solidFill>
          </w14:textFill>
        </w:rPr>
        <w:t>规范为准。</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26" w:name="_Toc279701242"/>
      <w:bookmarkStart w:id="127" w:name="_Toc259093671"/>
      <w:bookmarkStart w:id="128" w:name="_Toc27853"/>
      <w:bookmarkStart w:id="129" w:name="_Toc487900351"/>
      <w:bookmarkStart w:id="130" w:name="_Toc31634"/>
      <w:bookmarkStart w:id="131" w:name="_Toc9829"/>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3 知识产权</w:t>
      </w:r>
      <w:bookmarkEnd w:id="126"/>
      <w:bookmarkEnd w:id="127"/>
      <w:bookmarkEnd w:id="128"/>
      <w:bookmarkEnd w:id="129"/>
      <w:bookmarkEnd w:id="130"/>
      <w:bookmarkEnd w:id="13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2.3.1乙</w:t>
      </w:r>
      <w:r>
        <w:rPr>
          <w:rFonts w:asciiTheme="minorEastAsia" w:hAnsiTheme="minorEastAsia" w:eastAsiaTheme="minorEastAsia"/>
          <w:color w:val="000000" w:themeColor="text1"/>
          <w:sz w:val="24"/>
          <w14:textFill>
            <w14:solidFill>
              <w14:schemeClr w14:val="tx1"/>
            </w14:solidFill>
          </w14:textFill>
        </w:rPr>
        <w:t>方应保证甲方在使用该货物或其任何一部分时不受任何第三方提出的侵犯其著作权、商标权、专利权等知识产权方面的起诉</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如果任何第三方提出侵权</w:t>
      </w:r>
      <w:r>
        <w:rPr>
          <w:rFonts w:hint="eastAsia" w:asciiTheme="minorEastAsia" w:hAnsiTheme="minorEastAsia" w:eastAsiaTheme="minorEastAsia"/>
          <w:color w:val="000000" w:themeColor="text1"/>
          <w:sz w:val="24"/>
          <w14:textFill>
            <w14:solidFill>
              <w14:schemeClr w14:val="tx1"/>
            </w14:solidFill>
          </w14:textFill>
        </w:rPr>
        <w:t>指控</w:t>
      </w:r>
      <w:r>
        <w:rPr>
          <w:rFonts w:asciiTheme="minorEastAsia" w:hAnsiTheme="minorEastAsia" w:eastAsiaTheme="minorEastAsia"/>
          <w:color w:val="000000" w:themeColor="text1"/>
          <w:sz w:val="24"/>
          <w14:textFill>
            <w14:solidFill>
              <w14:schemeClr w14:val="tx1"/>
            </w14:solidFill>
          </w14:textFill>
        </w:rPr>
        <w:t>，那么乙方须与该第三方交涉并承担由此发生的一切责任、费用和赔偿</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2.3.2具有知识产权的计算机软件等货物的知识产权归属，</w:t>
      </w: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color w:val="000000" w:themeColor="text1"/>
          <w:sz w:val="24"/>
          <w14:textFill>
            <w14:solidFill>
              <w14:schemeClr w14:val="tx1"/>
            </w14:solidFill>
          </w14:textFill>
        </w:rPr>
      </w:pPr>
      <w:bookmarkStart w:id="132" w:name="_Toc4194"/>
      <w:bookmarkStart w:id="133" w:name="_Toc29149"/>
      <w:bookmarkStart w:id="134" w:name="_Toc11932"/>
      <w:r>
        <w:rPr>
          <w:rFonts w:hint="eastAsia" w:asciiTheme="minorEastAsia" w:hAnsiTheme="minorEastAsia" w:eastAsiaTheme="minorEastAsia"/>
          <w:b/>
          <w:bCs/>
          <w:color w:val="000000" w:themeColor="text1"/>
          <w:sz w:val="24"/>
          <w:lang w:val="zh-CN"/>
          <w14:textFill>
            <w14:solidFill>
              <w14:schemeClr w14:val="tx1"/>
            </w14:solidFill>
          </w14:textFill>
        </w:rPr>
        <w:t>2.4</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包装和装运</w:t>
      </w:r>
      <w:bookmarkEnd w:id="132"/>
      <w:bookmarkEnd w:id="133"/>
      <w:bookmarkEnd w:id="13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2.4.1除</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color w:val="000000" w:themeColor="text1"/>
          <w:sz w:val="24"/>
          <w14:textFill>
            <w14:solidFill>
              <w14:schemeClr w14:val="tx1"/>
            </w14:solidFill>
          </w14:textFill>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2.4.2装运货物的要求和通知，详见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35" w:name="_Ref467379536"/>
      <w:bookmarkStart w:id="136" w:name="_Ref467378591"/>
      <w:bookmarkStart w:id="137" w:name="_Ref467379527"/>
      <w:bookmarkStart w:id="138" w:name="_Toc487900354"/>
      <w:bookmarkStart w:id="139" w:name="_Ref467379542"/>
      <w:bookmarkStart w:id="140" w:name="_Toc279701245"/>
      <w:bookmarkStart w:id="141" w:name="_Toc259093674"/>
      <w:bookmarkStart w:id="142" w:name="_Ref467378541"/>
      <w:bookmarkStart w:id="143" w:name="_Toc30272"/>
      <w:bookmarkStart w:id="144" w:name="_Toc26182"/>
      <w:bookmarkStart w:id="145" w:name="_Toc19074"/>
      <w:r>
        <w:rPr>
          <w:rFonts w:hint="eastAsia" w:asciiTheme="minorEastAsia" w:hAnsiTheme="minorEastAsia" w:eastAsiaTheme="minorEastAsia"/>
          <w:b/>
          <w:bCs/>
          <w:color w:val="000000" w:themeColor="text1"/>
          <w:sz w:val="24"/>
          <w:lang w:val="zh-CN"/>
          <w14:textFill>
            <w14:solidFill>
              <w14:schemeClr w14:val="tx1"/>
            </w14:solidFill>
          </w14:textFill>
        </w:rPr>
        <w:t>2.</w:t>
      </w:r>
      <w:bookmarkEnd w:id="135"/>
      <w:bookmarkEnd w:id="136"/>
      <w:bookmarkEnd w:id="137"/>
      <w:bookmarkEnd w:id="138"/>
      <w:bookmarkEnd w:id="139"/>
      <w:bookmarkEnd w:id="140"/>
      <w:bookmarkEnd w:id="141"/>
      <w:bookmarkEnd w:id="142"/>
      <w:r>
        <w:rPr>
          <w:rFonts w:hint="eastAsia" w:asciiTheme="minorEastAsia" w:hAnsiTheme="minorEastAsia" w:eastAsiaTheme="minorEastAsia"/>
          <w:b/>
          <w:bCs/>
          <w:color w:val="000000" w:themeColor="text1"/>
          <w:sz w:val="24"/>
          <w:lang w:val="zh-CN"/>
          <w14:textFill>
            <w14:solidFill>
              <w14:schemeClr w14:val="tx1"/>
            </w14:solidFill>
          </w14:textFill>
        </w:rPr>
        <w:t>5</w:t>
      </w:r>
      <w:r>
        <w:rPr>
          <w:rFonts w:asciiTheme="minorEastAsia" w:hAnsiTheme="minorEastAsia" w:eastAsiaTheme="minorEastAsia"/>
          <w:b/>
          <w:bCs/>
          <w:color w:val="000000" w:themeColor="text1"/>
          <w:sz w:val="24"/>
          <w:lang w:val="zh-CN"/>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履约检查和问题反馈</w:t>
      </w:r>
      <w:bookmarkEnd w:id="143"/>
      <w:bookmarkEnd w:id="144"/>
      <w:bookmarkEnd w:id="14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bookmarkStart w:id="146" w:name="_Ref467379657"/>
      <w:r>
        <w:rPr>
          <w:rFonts w:hint="eastAsia" w:asciiTheme="minorEastAsia" w:hAnsiTheme="minorEastAsia" w:eastAsiaTheme="minorEastAsia"/>
          <w:color w:val="000000" w:themeColor="text1"/>
          <w:sz w:val="24"/>
          <w14:textFill>
            <w14:solidFill>
              <w14:schemeClr w14:val="tx1"/>
            </w14:solidFill>
          </w14:textFill>
        </w:rPr>
        <w:t>2.5</w:t>
      </w:r>
      <w:r>
        <w:rPr>
          <w:rFonts w:asciiTheme="minorEastAsia" w:hAnsiTheme="minorEastAsia" w:eastAsiaTheme="minorEastAsia"/>
          <w:color w:val="000000" w:themeColor="text1"/>
          <w:sz w:val="24"/>
          <w14:textFill>
            <w14:solidFill>
              <w14:schemeClr w14:val="tx1"/>
            </w14:solidFill>
          </w14:textFill>
        </w:rPr>
        <w:t>.1</w:t>
      </w:r>
      <w:bookmarkEnd w:id="146"/>
      <w:bookmarkStart w:id="147" w:name="_Toc186431854"/>
      <w:bookmarkStart w:id="148" w:name="_Toc487900357"/>
      <w:bookmarkStart w:id="149" w:name="_Toc259093676"/>
      <w:bookmarkStart w:id="150" w:name="_Ref467379807"/>
      <w:bookmarkStart w:id="151" w:name="_Toc279701247"/>
      <w:bookmarkStart w:id="152" w:name="_Ref467379793"/>
      <w:r>
        <w:rPr>
          <w:rFonts w:asciiTheme="minorEastAsia" w:hAnsiTheme="minorEastAsia" w:eastAsiaTheme="minorEastAsia"/>
          <w:color w:val="000000" w:themeColor="text1"/>
          <w:sz w:val="24"/>
          <w14:textFill>
            <w14:solidFill>
              <w14:schemeClr w14:val="tx1"/>
            </w14:solidFill>
          </w14:textFill>
        </w:rPr>
        <w:t>甲方</w:t>
      </w:r>
      <w:r>
        <w:rPr>
          <w:rFonts w:hint="eastAsia" w:asciiTheme="minorEastAsia" w:hAnsiTheme="minorEastAsia" w:eastAsiaTheme="minorEastAsia"/>
          <w:color w:val="000000" w:themeColor="text1"/>
          <w:sz w:val="24"/>
          <w14:textFill>
            <w14:solidFill>
              <w14:schemeClr w14:val="tx1"/>
            </w14:solidFill>
          </w14:textFill>
        </w:rPr>
        <w:t>有权</w:t>
      </w:r>
      <w:r>
        <w:rPr>
          <w:rFonts w:asciiTheme="minorEastAsia" w:hAnsiTheme="minorEastAsia" w:eastAsiaTheme="minorEastAsia"/>
          <w:color w:val="000000" w:themeColor="text1"/>
          <w:sz w:val="24"/>
          <w14:textFill>
            <w14:solidFill>
              <w14:schemeClr w14:val="tx1"/>
            </w14:solidFill>
          </w14:textFill>
        </w:rPr>
        <w:t>在其认为必要时</w:t>
      </w:r>
      <w:r>
        <w:rPr>
          <w:rFonts w:hint="eastAsia" w:asciiTheme="minorEastAsia" w:hAnsiTheme="minorEastAsia" w:eastAsiaTheme="minorEastAsia"/>
          <w:color w:val="000000" w:themeColor="text1"/>
          <w:sz w:val="24"/>
          <w14:textFill>
            <w14:solidFill>
              <w14:schemeClr w14:val="tx1"/>
            </w14:solidFill>
          </w14:textFill>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2.5.2合同履行期间，甲方有权将履行过程中出现的问题反馈给乙方，双方当事人应以书面形式约定需要完善和改进的内容</w:t>
      </w:r>
      <w:bookmarkEnd w:id="147"/>
      <w:bookmarkStart w:id="153" w:name="_Toc186431855"/>
      <w:r>
        <w:rPr>
          <w:rFonts w:hint="eastAsia" w:asciiTheme="minorEastAsia" w:hAnsiTheme="minorEastAsia" w:eastAsiaTheme="minorEastAsia"/>
          <w:color w:val="000000" w:themeColor="text1"/>
          <w:sz w:val="24"/>
          <w14:textFill>
            <w14:solidFill>
              <w14:schemeClr w14:val="tx1"/>
            </w14:solidFill>
          </w14:textFill>
        </w:rPr>
        <w:t>。</w:t>
      </w:r>
    </w:p>
    <w:bookmarkEnd w:id="153"/>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54" w:name="_Toc19219"/>
      <w:bookmarkStart w:id="155" w:name="_Toc7836"/>
      <w:bookmarkStart w:id="156" w:name="_Toc28451"/>
      <w:r>
        <w:rPr>
          <w:rFonts w:hint="eastAsia" w:asciiTheme="minorEastAsia" w:hAnsiTheme="minorEastAsia" w:eastAsiaTheme="minorEastAsia"/>
          <w:b/>
          <w:bCs/>
          <w:color w:val="000000" w:themeColor="text1"/>
          <w:sz w:val="24"/>
          <w:lang w:val="zh-CN"/>
          <w14:textFill>
            <w14:solidFill>
              <w14:schemeClr w14:val="tx1"/>
            </w14:solidFill>
          </w14:textFill>
        </w:rPr>
        <w:t xml:space="preserve">2.6 </w:t>
      </w:r>
      <w:r>
        <w:rPr>
          <w:rFonts w:asciiTheme="minorEastAsia" w:hAnsiTheme="minorEastAsia" w:eastAsiaTheme="minorEastAsia"/>
          <w:b/>
          <w:bCs/>
          <w:color w:val="000000" w:themeColor="text1"/>
          <w:sz w:val="24"/>
          <w:lang w:val="zh-CN"/>
          <w14:textFill>
            <w14:solidFill>
              <w14:schemeClr w14:val="tx1"/>
            </w14:solidFill>
          </w14:textFill>
        </w:rPr>
        <w:t>结算方式和付款条件</w:t>
      </w:r>
      <w:bookmarkEnd w:id="148"/>
      <w:bookmarkEnd w:id="149"/>
      <w:bookmarkEnd w:id="150"/>
      <w:bookmarkEnd w:id="151"/>
      <w:bookmarkEnd w:id="152"/>
      <w:bookmarkEnd w:id="154"/>
      <w:bookmarkEnd w:id="155"/>
      <w:bookmarkEnd w:id="15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57" w:name="_Toc279701248"/>
      <w:bookmarkStart w:id="158" w:name="_Ref467379852"/>
      <w:bookmarkStart w:id="159" w:name="_Ref467379863"/>
      <w:bookmarkStart w:id="160" w:name="_Toc259093677"/>
      <w:bookmarkStart w:id="161" w:name="_Toc487900358"/>
      <w:bookmarkStart w:id="162" w:name="_Ref467379923"/>
      <w:bookmarkStart w:id="163" w:name="_Toc16110"/>
      <w:bookmarkStart w:id="164" w:name="_Toc774"/>
      <w:bookmarkStart w:id="165" w:name="_Toc3225"/>
      <w:r>
        <w:rPr>
          <w:rFonts w:hint="eastAsia" w:asciiTheme="minorEastAsia" w:hAnsiTheme="minorEastAsia" w:eastAsiaTheme="minorEastAsia"/>
          <w:b/>
          <w:bCs/>
          <w:color w:val="000000" w:themeColor="text1"/>
          <w:sz w:val="24"/>
          <w:lang w:val="zh-CN"/>
          <w14:textFill>
            <w14:solidFill>
              <w14:schemeClr w14:val="tx1"/>
            </w14:solidFill>
          </w14:textFill>
        </w:rPr>
        <w:t xml:space="preserve">2.7 </w:t>
      </w:r>
      <w:r>
        <w:rPr>
          <w:rFonts w:asciiTheme="minorEastAsia" w:hAnsiTheme="minorEastAsia" w:eastAsiaTheme="minorEastAsia"/>
          <w:b/>
          <w:bCs/>
          <w:color w:val="000000" w:themeColor="text1"/>
          <w:sz w:val="24"/>
          <w:lang w:val="zh-CN"/>
          <w14:textFill>
            <w14:solidFill>
              <w14:schemeClr w14:val="tx1"/>
            </w14:solidFill>
          </w14:textFill>
        </w:rPr>
        <w:t>技术资料</w:t>
      </w:r>
      <w:bookmarkEnd w:id="157"/>
      <w:bookmarkEnd w:id="158"/>
      <w:bookmarkEnd w:id="159"/>
      <w:bookmarkEnd w:id="160"/>
      <w:bookmarkEnd w:id="161"/>
      <w:bookmarkEnd w:id="162"/>
      <w:r>
        <w:rPr>
          <w:rFonts w:asciiTheme="minorEastAsia" w:hAnsiTheme="minorEastAsia" w:eastAsiaTheme="minorEastAsia"/>
          <w:b/>
          <w:bCs/>
          <w:color w:val="000000" w:themeColor="text1"/>
          <w:sz w:val="24"/>
          <w:lang w:val="zh-CN"/>
          <w14:textFill>
            <w14:solidFill>
              <w14:schemeClr w14:val="tx1"/>
            </w14:solidFill>
          </w14:textFill>
        </w:rPr>
        <w:t>和保密义务</w:t>
      </w:r>
      <w:bookmarkEnd w:id="163"/>
      <w:bookmarkEnd w:id="164"/>
      <w:bookmarkEnd w:id="16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2.7</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2.7.2乙方有义务妥善保管和保护由甲方提供的前款信息和资料等；</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2.7</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color w:val="000000" w:themeColor="text1"/>
          <w:sz w:val="24"/>
          <w14:textFill>
            <w14:solidFill>
              <w14:schemeClr w14:val="tx1"/>
            </w14:solidFill>
          </w14:textFill>
        </w:rPr>
        <w:t>技术情报</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技术资料</w:t>
      </w:r>
      <w:r>
        <w:rPr>
          <w:rFonts w:hint="eastAsia" w:asciiTheme="minorEastAsia" w:hAnsiTheme="minorEastAsia" w:eastAsiaTheme="minorEastAsia"/>
          <w:color w:val="000000" w:themeColor="text1"/>
          <w:sz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66" w:name="_Toc7860"/>
      <w:r>
        <w:rPr>
          <w:rFonts w:asciiTheme="minorEastAsia" w:hAnsiTheme="minorEastAsia" w:eastAsiaTheme="minorEastAsia"/>
          <w:b/>
          <w:bCs/>
          <w:color w:val="000000" w:themeColor="text1"/>
          <w:sz w:val="24"/>
          <w:lang w:val="zh-CN"/>
          <w14:textFill>
            <w14:solidFill>
              <w14:schemeClr w14:val="tx1"/>
            </w14:solidFill>
          </w14:textFill>
        </w:rPr>
        <w:t>2.8 质量保证</w:t>
      </w:r>
      <w:bookmarkEnd w:id="16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2.8.1乙方应建立和完善履行合同的内部质量保证体系，并提供相关内部规章制度给甲方，以便甲方进行监督检查；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67" w:name="_Toc17244"/>
      <w:bookmarkStart w:id="168" w:name="_Toc279701252"/>
      <w:bookmarkStart w:id="169" w:name="_Toc259093681"/>
      <w:bookmarkStart w:id="170" w:name="_Toc487900362"/>
      <w:r>
        <w:rPr>
          <w:rFonts w:asciiTheme="minorEastAsia" w:hAnsiTheme="minorEastAsia" w:eastAsiaTheme="minorEastAsia"/>
          <w:b/>
          <w:bCs/>
          <w:color w:val="000000" w:themeColor="text1"/>
          <w:sz w:val="24"/>
          <w:lang w:val="zh-CN"/>
          <w14:textFill>
            <w14:solidFill>
              <w14:schemeClr w14:val="tx1"/>
            </w14:solidFill>
          </w14:textFill>
        </w:rPr>
        <w:t>2.9 货物的风险负担</w:t>
      </w:r>
      <w:bookmarkEnd w:id="167"/>
    </w:p>
    <w:p>
      <w:pPr>
        <w:spacing w:line="360" w:lineRule="auto"/>
        <w:ind w:firstLine="435"/>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货物或者在途货物或者交付给第一承运人后的货物毁损、灭失的风险负担</w:t>
      </w:r>
      <w:r>
        <w:rPr>
          <w:rFonts w:asciiTheme="minorEastAsia" w:hAnsiTheme="minorEastAsia" w:eastAsiaTheme="minorEastAsia"/>
          <w:color w:val="000000" w:themeColor="text1"/>
          <w:sz w:val="24"/>
          <w14:textFill>
            <w14:solidFill>
              <w14:schemeClr w14:val="tx1"/>
            </w14:solidFill>
          </w14:textFill>
        </w:rPr>
        <w:t>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71" w:name="_Toc14055"/>
      <w:r>
        <w:rPr>
          <w:rFonts w:asciiTheme="minorEastAsia" w:hAnsiTheme="minorEastAsia" w:eastAsiaTheme="minorEastAsia"/>
          <w:b/>
          <w:bCs/>
          <w:color w:val="000000" w:themeColor="text1"/>
          <w:sz w:val="24"/>
          <w:lang w:val="zh-CN"/>
          <w14:textFill>
            <w14:solidFill>
              <w14:schemeClr w14:val="tx1"/>
            </w14:solidFill>
          </w14:textFill>
        </w:rPr>
        <w:t>2.10 延迟交货</w:t>
      </w:r>
      <w:bookmarkEnd w:id="168"/>
      <w:bookmarkEnd w:id="169"/>
      <w:bookmarkEnd w:id="170"/>
      <w:bookmarkEnd w:id="17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在合同履行过程中，如果乙方遇到不能按时交付货物的情况，应及时以书面形式将不能按时</w:t>
      </w:r>
      <w:r>
        <w:rPr>
          <w:rFonts w:hint="eastAsia" w:asciiTheme="minorEastAsia" w:hAnsiTheme="minorEastAsia" w:eastAsiaTheme="minorEastAsia"/>
          <w:color w:val="000000" w:themeColor="text1"/>
          <w:sz w:val="24"/>
          <w14:textFill>
            <w14:solidFill>
              <w14:schemeClr w14:val="tx1"/>
            </w14:solidFill>
          </w14:textFill>
        </w:rPr>
        <w:t>交付货物</w:t>
      </w:r>
      <w:r>
        <w:rPr>
          <w:rFonts w:asciiTheme="minorEastAsia" w:hAnsiTheme="minorEastAsia" w:eastAsiaTheme="minorEastAsia"/>
          <w:color w:val="000000" w:themeColor="text1"/>
          <w:sz w:val="24"/>
          <w14:textFill>
            <w14:solidFill>
              <w14:schemeClr w14:val="tx1"/>
            </w14:solidFill>
          </w14:textFill>
        </w:rPr>
        <w:t>的理由、预期延误时间通知甲方</w:t>
      </w:r>
      <w:r>
        <w:rPr>
          <w:rFonts w:hint="eastAsia" w:asciiTheme="minorEastAsia" w:hAnsiTheme="minorEastAsia" w:eastAsiaTheme="minorEastAsia"/>
          <w:color w:val="000000" w:themeColor="text1"/>
          <w:sz w:val="24"/>
          <w14:textFill>
            <w14:solidFill>
              <w14:schemeClr w14:val="tx1"/>
            </w14:solidFill>
          </w14:textFill>
        </w:rPr>
        <w:t>；甲</w:t>
      </w:r>
      <w:r>
        <w:rPr>
          <w:rFonts w:asciiTheme="minorEastAsia" w:hAnsiTheme="minorEastAsia" w:eastAsiaTheme="minorEastAsia"/>
          <w:color w:val="000000" w:themeColor="text1"/>
          <w:sz w:val="24"/>
          <w14:textFill>
            <w14:solidFill>
              <w14:schemeClr w14:val="tx1"/>
            </w14:solidFill>
          </w14:textFill>
        </w:rPr>
        <w:t>方收到乙方通知后，认为其理由正当的，可以书面形式酌情同意乙方可以延长交货的具体时间。</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72" w:name="_Toc7502"/>
      <w:bookmarkStart w:id="173" w:name="_Ref467378121"/>
      <w:bookmarkStart w:id="174" w:name="_Toc279701254"/>
      <w:bookmarkStart w:id="175" w:name="_Toc487900364"/>
      <w:bookmarkStart w:id="176" w:name="_Toc259093683"/>
      <w:r>
        <w:rPr>
          <w:rFonts w:asciiTheme="minorEastAsia" w:hAnsiTheme="minorEastAsia" w:eastAsiaTheme="minorEastAsia"/>
          <w:b/>
          <w:bCs/>
          <w:color w:val="000000" w:themeColor="text1"/>
          <w:sz w:val="24"/>
          <w:lang w:val="zh-CN"/>
          <w14:textFill>
            <w14:solidFill>
              <w14:schemeClr w14:val="tx1"/>
            </w14:solidFill>
          </w14:textFill>
        </w:rPr>
        <w:t>2.11 合同变更</w:t>
      </w:r>
      <w:bookmarkEnd w:id="17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2.11.1双方当事人协商一致，可以签订书面补充合同的形式变更合同，但不得违背采购文件确定的事项；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2.11.2合同继续履行将损害国家利益和社会公共利益的，双方当事人应当以书面形式变更合同。有过错的一方应当承担赔偿责任，双方当事人都有过错的，各自承担相应的责任。</w:t>
      </w:r>
      <w:bookmarkStart w:id="177" w:name="_Toc487900369"/>
      <w:bookmarkStart w:id="178" w:name="_Toc279701259"/>
      <w:bookmarkStart w:id="179" w:name="_Toc259093688"/>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80" w:name="_Toc15237"/>
      <w:bookmarkStart w:id="181" w:name="_Toc22955"/>
      <w:bookmarkStart w:id="182" w:name="_Toc10366"/>
      <w:r>
        <w:rPr>
          <w:rFonts w:hint="eastAsia" w:asciiTheme="minorEastAsia" w:hAnsiTheme="minorEastAsia" w:eastAsiaTheme="minorEastAsia"/>
          <w:b/>
          <w:bCs/>
          <w:color w:val="000000" w:themeColor="text1"/>
          <w:sz w:val="24"/>
          <w:lang w:val="zh-CN"/>
          <w14:textFill>
            <w14:solidFill>
              <w14:schemeClr w14:val="tx1"/>
            </w14:solidFill>
          </w14:textFill>
        </w:rPr>
        <w:t xml:space="preserve">2.12 </w:t>
      </w:r>
      <w:r>
        <w:rPr>
          <w:rFonts w:asciiTheme="minorEastAsia" w:hAnsiTheme="minorEastAsia" w:eastAsiaTheme="minorEastAsia"/>
          <w:b/>
          <w:bCs/>
          <w:color w:val="000000" w:themeColor="text1"/>
          <w:sz w:val="24"/>
          <w:lang w:val="zh-CN"/>
          <w14:textFill>
            <w14:solidFill>
              <w14:schemeClr w14:val="tx1"/>
            </w14:solidFill>
          </w14:textFill>
        </w:rPr>
        <w:t>合同转让</w:t>
      </w:r>
      <w:bookmarkEnd w:id="177"/>
      <w:bookmarkEnd w:id="178"/>
      <w:bookmarkEnd w:id="179"/>
      <w:r>
        <w:rPr>
          <w:rFonts w:asciiTheme="minorEastAsia" w:hAnsiTheme="minorEastAsia" w:eastAsiaTheme="minorEastAsia"/>
          <w:b/>
          <w:bCs/>
          <w:color w:val="000000" w:themeColor="text1"/>
          <w:sz w:val="24"/>
          <w:lang w:val="zh-CN"/>
          <w14:textFill>
            <w14:solidFill>
              <w14:schemeClr w14:val="tx1"/>
            </w14:solidFill>
          </w14:textFill>
        </w:rPr>
        <w:t>和分包</w:t>
      </w:r>
      <w:bookmarkEnd w:id="180"/>
      <w:bookmarkEnd w:id="181"/>
      <w:bookmarkEnd w:id="182"/>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合同的权利义务依法不</w:t>
      </w:r>
      <w:r>
        <w:rPr>
          <w:rFonts w:hint="eastAsia" w:asciiTheme="minorEastAsia" w:hAnsiTheme="minorEastAsia" w:eastAsiaTheme="minorEastAsia"/>
          <w:color w:val="000000" w:themeColor="text1"/>
          <w:sz w:val="24"/>
          <w14:textFill>
            <w14:solidFill>
              <w14:schemeClr w14:val="tx1"/>
            </w14:solidFill>
          </w14:textFill>
        </w:rPr>
        <w:t>得</w:t>
      </w:r>
      <w:r>
        <w:rPr>
          <w:rFonts w:asciiTheme="minorEastAsia" w:hAnsiTheme="minorEastAsia" w:eastAsiaTheme="minorEastAsia"/>
          <w:color w:val="000000" w:themeColor="text1"/>
          <w:sz w:val="24"/>
          <w14:textFill>
            <w14:solidFill>
              <w14:schemeClr w14:val="tx1"/>
            </w14:solidFill>
          </w14:textFill>
        </w:rPr>
        <w:t>转让</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但经甲方</w:t>
      </w:r>
      <w:r>
        <w:rPr>
          <w:rFonts w:hint="eastAsia" w:asciiTheme="minorEastAsia" w:hAnsiTheme="minorEastAsia" w:eastAsiaTheme="minorEastAsia"/>
          <w:color w:val="000000" w:themeColor="text1"/>
          <w:sz w:val="24"/>
          <w14:textFill>
            <w14:solidFill>
              <w14:schemeClr w14:val="tx1"/>
            </w14:solidFill>
          </w14:textFill>
        </w:rPr>
        <w:t>同意，乙方可以依法采取分包方式履行合同，即：依法可以</w:t>
      </w:r>
      <w:r>
        <w:rPr>
          <w:rFonts w:asciiTheme="minorEastAsia" w:hAnsiTheme="minorEastAsia" w:eastAsiaTheme="minorEastAsia"/>
          <w:color w:val="000000" w:themeColor="text1"/>
          <w:sz w:val="24"/>
          <w14:textFill>
            <w14:solidFill>
              <w14:schemeClr w14:val="tx1"/>
            </w14:solidFill>
          </w14:textFill>
        </w:rPr>
        <w:t>将合同项下的部分非主体、非关键性工作分包给他人完成</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接受分包的人应当具备相应的资格条件，并不得再次分包</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且乙方应就分包项目向甲方负责</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并</w:t>
      </w:r>
      <w:r>
        <w:rPr>
          <w:rFonts w:hint="eastAsia" w:asciiTheme="minorEastAsia" w:hAnsiTheme="minorEastAsia" w:eastAsiaTheme="minorEastAsia"/>
          <w:color w:val="000000" w:themeColor="text1"/>
          <w:sz w:val="24"/>
          <w14:textFill>
            <w14:solidFill>
              <w14:schemeClr w14:val="tx1"/>
            </w14:solidFill>
          </w14:textFill>
        </w:rPr>
        <w:t>与分包供应商就分包项目向甲方承担连带责任。</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83" w:name="_Toc16508"/>
      <w:bookmarkStart w:id="184" w:name="_Toc13566"/>
      <w:bookmarkStart w:id="185" w:name="_Toc14066"/>
      <w:r>
        <w:rPr>
          <w:rFonts w:hint="eastAsia" w:asciiTheme="minorEastAsia" w:hAnsiTheme="minorEastAsia" w:eastAsiaTheme="minorEastAsia"/>
          <w:b/>
          <w:bCs/>
          <w:color w:val="000000" w:themeColor="text1"/>
          <w:sz w:val="24"/>
          <w:lang w:val="zh-CN"/>
          <w14:textFill>
            <w14:solidFill>
              <w14:schemeClr w14:val="tx1"/>
            </w14:solidFill>
          </w14:textFill>
        </w:rPr>
        <w:t>2.13</w:t>
      </w:r>
      <w:r>
        <w:rPr>
          <w:rFonts w:asciiTheme="minorEastAsia" w:hAnsiTheme="minorEastAsia" w:eastAsiaTheme="minorEastAsia"/>
          <w:b/>
          <w:bCs/>
          <w:color w:val="000000" w:themeColor="text1"/>
          <w:sz w:val="24"/>
          <w:lang w:val="zh-CN"/>
          <w14:textFill>
            <w14:solidFill>
              <w14:schemeClr w14:val="tx1"/>
            </w14:solidFill>
          </w14:textFill>
        </w:rPr>
        <w:t xml:space="preserve"> 不可抗力</w:t>
      </w:r>
      <w:bookmarkEnd w:id="183"/>
      <w:bookmarkEnd w:id="184"/>
      <w:bookmarkEnd w:id="18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2.13</w:t>
      </w:r>
      <w:r>
        <w:rPr>
          <w:rFonts w:asciiTheme="minorEastAsia" w:hAnsiTheme="minorEastAsia" w:eastAsiaTheme="minorEastAsia"/>
          <w:color w:val="000000" w:themeColor="text1"/>
          <w:sz w:val="24"/>
          <w14:textFill>
            <w14:solidFill>
              <w14:schemeClr w14:val="tx1"/>
            </w14:solidFill>
          </w14:textFill>
        </w:rPr>
        <w:t>.1如果任何一方遭遇法律规定的不可抗力，致使合同履行受阻时，履行合同的期限应予延长，延长的期限应相当于不可抗力所影响的时间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2.13.2因不可抗力致使不能实现合同目的的，当事人可以解除合同；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2.13.3因</w:t>
      </w:r>
      <w:r>
        <w:rPr>
          <w:rFonts w:asciiTheme="minorEastAsia" w:hAnsiTheme="minorEastAsia" w:eastAsiaTheme="minorEastAsia"/>
          <w:color w:val="000000" w:themeColor="text1"/>
          <w:sz w:val="24"/>
          <w14:textFill>
            <w14:solidFill>
              <w14:schemeClr w14:val="tx1"/>
            </w14:solidFill>
          </w14:textFill>
        </w:rPr>
        <w:t>不可抗力致使合同有变更必要的，双方当事人应在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约定时间内以书面形式变更合同</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2.13</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4</w:t>
      </w:r>
      <w:r>
        <w:rPr>
          <w:rFonts w:asciiTheme="minorEastAsia" w:hAnsiTheme="minorEastAsia" w:eastAsiaTheme="minorEastAsia"/>
          <w:color w:val="000000" w:themeColor="text1"/>
          <w:sz w:val="24"/>
          <w14:textFill>
            <w14:solidFill>
              <w14:schemeClr w14:val="tx1"/>
            </w14:solidFill>
          </w14:textFill>
        </w:rPr>
        <w:t>受</w:t>
      </w:r>
      <w:r>
        <w:rPr>
          <w:rFonts w:hint="eastAsia" w:asciiTheme="minorEastAsia" w:hAnsiTheme="minorEastAsia" w:eastAsiaTheme="minorEastAsia"/>
          <w:color w:val="000000" w:themeColor="text1"/>
          <w:sz w:val="24"/>
          <w14:textFill>
            <w14:solidFill>
              <w14:schemeClr w14:val="tx1"/>
            </w14:solidFill>
          </w14:textFill>
        </w:rPr>
        <w:t>不可抗力</w:t>
      </w:r>
      <w:r>
        <w:rPr>
          <w:rFonts w:asciiTheme="minorEastAsia" w:hAnsiTheme="minorEastAsia" w:eastAsiaTheme="minorEastAsia"/>
          <w:color w:val="000000" w:themeColor="text1"/>
          <w:sz w:val="24"/>
          <w14:textFill>
            <w14:solidFill>
              <w14:schemeClr w14:val="tx1"/>
            </w14:solidFill>
          </w14:textFill>
        </w:rPr>
        <w:t>影响的一方在不可抗力发生后</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约定时间内以书面形式通知</w:t>
      </w:r>
      <w:r>
        <w:rPr>
          <w:rFonts w:hint="eastAsia" w:asciiTheme="minorEastAsia" w:hAnsiTheme="minorEastAsia" w:eastAsiaTheme="minorEastAsia"/>
          <w:color w:val="000000" w:themeColor="text1"/>
          <w:sz w:val="24"/>
          <w14:textFill>
            <w14:solidFill>
              <w14:schemeClr w14:val="tx1"/>
            </w14:solidFill>
          </w14:textFill>
        </w:rPr>
        <w:t>对</w:t>
      </w:r>
      <w:r>
        <w:rPr>
          <w:rFonts w:asciiTheme="minorEastAsia" w:hAnsiTheme="minorEastAsia" w:eastAsiaTheme="minorEastAsia"/>
          <w:color w:val="000000" w:themeColor="text1"/>
          <w:sz w:val="24"/>
          <w14:textFill>
            <w14:solidFill>
              <w14:schemeClr w14:val="tx1"/>
            </w14:solidFill>
          </w14:textFill>
        </w:rPr>
        <w:t>方当事人，并在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约定时间内，将有关部门出具的证明文件送达</w:t>
      </w:r>
      <w:r>
        <w:rPr>
          <w:rFonts w:hint="eastAsia" w:asciiTheme="minorEastAsia" w:hAnsiTheme="minorEastAsia" w:eastAsiaTheme="minorEastAsia"/>
          <w:color w:val="000000" w:themeColor="text1"/>
          <w:sz w:val="24"/>
          <w14:textFill>
            <w14:solidFill>
              <w14:schemeClr w14:val="tx1"/>
            </w14:solidFill>
          </w14:textFill>
        </w:rPr>
        <w:t>对方当事人</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86" w:name="_Toc259093684"/>
      <w:bookmarkStart w:id="187" w:name="_Toc279701255"/>
      <w:bookmarkStart w:id="188" w:name="_Toc6969"/>
      <w:bookmarkStart w:id="189" w:name="_Toc30676"/>
      <w:bookmarkStart w:id="190" w:name="_Toc487900365"/>
      <w:bookmarkStart w:id="191" w:name="_Toc689"/>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4 </w:t>
      </w:r>
      <w:r>
        <w:rPr>
          <w:rFonts w:asciiTheme="minorEastAsia" w:hAnsiTheme="minorEastAsia" w:eastAsiaTheme="minorEastAsia"/>
          <w:b/>
          <w:bCs/>
          <w:color w:val="000000" w:themeColor="text1"/>
          <w:sz w:val="24"/>
          <w:lang w:val="zh-CN"/>
          <w14:textFill>
            <w14:solidFill>
              <w14:schemeClr w14:val="tx1"/>
            </w14:solidFill>
          </w14:textFill>
        </w:rPr>
        <w:t>税费</w:t>
      </w:r>
      <w:bookmarkEnd w:id="186"/>
      <w:bookmarkEnd w:id="187"/>
      <w:bookmarkEnd w:id="188"/>
      <w:bookmarkEnd w:id="189"/>
      <w:bookmarkEnd w:id="190"/>
      <w:bookmarkEnd w:id="191"/>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与合同有关的一切税费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均按照中华人民共和国法律的相关规定</w:t>
      </w:r>
      <w:r>
        <w:rPr>
          <w:rFonts w:hint="eastAsia" w:asciiTheme="minorEastAsia" w:hAnsiTheme="minorEastAsia" w:eastAsiaTheme="minorEastAsia"/>
          <w:color w:val="000000" w:themeColor="text1"/>
          <w:sz w:val="24"/>
          <w14:textFill>
            <w14:solidFill>
              <w14:schemeClr w14:val="tx1"/>
            </w14:solidFill>
          </w14:textFill>
        </w:rPr>
        <w:t>缴纳</w:t>
      </w:r>
      <w:r>
        <w:rPr>
          <w:rFonts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192" w:name="_Toc8298"/>
      <w:bookmarkStart w:id="193" w:name="_Toc16959"/>
      <w:bookmarkStart w:id="194" w:name="_Toc279701258"/>
      <w:bookmarkStart w:id="195" w:name="_Toc259093687"/>
      <w:bookmarkStart w:id="196" w:name="_Toc487900368"/>
      <w:bookmarkStart w:id="197" w:name="_Toc7102"/>
      <w:r>
        <w:rPr>
          <w:rFonts w:hint="eastAsia" w:asciiTheme="minorEastAsia" w:hAnsiTheme="minorEastAsia" w:eastAsiaTheme="minorEastAsia"/>
          <w:b/>
          <w:bCs/>
          <w:color w:val="000000" w:themeColor="text1"/>
          <w:sz w:val="24"/>
          <w:lang w:val="zh-CN"/>
          <w14:textFill>
            <w14:solidFill>
              <w14:schemeClr w14:val="tx1"/>
            </w14:solidFill>
          </w14:textFill>
        </w:rPr>
        <w:t>2.</w:t>
      </w:r>
      <w:r>
        <w:rPr>
          <w:rFonts w:asciiTheme="minorEastAsia" w:hAnsiTheme="minorEastAsia" w:eastAsiaTheme="minorEastAsia"/>
          <w:b/>
          <w:bCs/>
          <w:color w:val="000000" w:themeColor="text1"/>
          <w:sz w:val="24"/>
          <w:lang w:val="zh-CN"/>
          <w14:textFill>
            <w14:solidFill>
              <w14:schemeClr w14:val="tx1"/>
            </w14:solidFill>
          </w14:textFill>
        </w:rPr>
        <w:t>1</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5 </w:t>
      </w:r>
      <w:r>
        <w:rPr>
          <w:rFonts w:asciiTheme="minorEastAsia" w:hAnsiTheme="minorEastAsia" w:eastAsiaTheme="minorEastAsia"/>
          <w:b/>
          <w:bCs/>
          <w:color w:val="000000" w:themeColor="text1"/>
          <w:sz w:val="24"/>
          <w:lang w:val="zh-CN"/>
          <w14:textFill>
            <w14:solidFill>
              <w14:schemeClr w14:val="tx1"/>
            </w14:solidFill>
          </w14:textFill>
        </w:rPr>
        <w:t>乙方破产</w:t>
      </w:r>
      <w:bookmarkEnd w:id="192"/>
      <w:bookmarkEnd w:id="193"/>
      <w:bookmarkEnd w:id="194"/>
      <w:bookmarkEnd w:id="195"/>
      <w:bookmarkEnd w:id="196"/>
      <w:bookmarkEnd w:id="197"/>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如果乙方破产导致合同无法履行时，甲方可以书面形式通知乙方终止合同且不给予乙方任何补偿和赔偿</w:t>
      </w:r>
      <w:r>
        <w:rPr>
          <w:rFonts w:hint="eastAsia" w:asciiTheme="minorEastAsia" w:hAnsiTheme="minorEastAsia" w:eastAsiaTheme="minorEastAsia"/>
          <w:color w:val="000000" w:themeColor="text1"/>
          <w:sz w:val="24"/>
          <w14:textFill>
            <w14:solidFill>
              <w14:schemeClr w14:val="tx1"/>
            </w14:solidFill>
          </w14:textFill>
        </w:rPr>
        <w:t>，但合同的</w:t>
      </w:r>
      <w:r>
        <w:rPr>
          <w:rFonts w:asciiTheme="minorEastAsia" w:hAnsiTheme="minorEastAsia" w:eastAsiaTheme="minorEastAsia"/>
          <w:color w:val="000000" w:themeColor="text1"/>
          <w:sz w:val="24"/>
          <w14:textFill>
            <w14:solidFill>
              <w14:schemeClr w14:val="tx1"/>
            </w14:solidFill>
          </w14:textFill>
        </w:rPr>
        <w:t>终止不损害或不影响甲方已经采取或将要采取的任何要求乙方支付违约金</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赔偿损失等的行动或补救措施的权利</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7"/>
        <w:outlineLvl w:val="2"/>
        <w:rPr>
          <w:rFonts w:asciiTheme="minorEastAsia" w:hAnsiTheme="minorEastAsia" w:eastAsiaTheme="minorEastAsia"/>
          <w:b/>
          <w:color w:val="000000" w:themeColor="text1"/>
          <w:sz w:val="24"/>
          <w14:textFill>
            <w14:solidFill>
              <w14:schemeClr w14:val="tx1"/>
            </w14:solidFill>
          </w14:textFill>
        </w:rPr>
      </w:pPr>
      <w:bookmarkStart w:id="198" w:name="_Toc6134"/>
      <w:bookmarkStart w:id="199" w:name="_Toc15387"/>
      <w:bookmarkStart w:id="200" w:name="_Toc29333"/>
      <w:r>
        <w:rPr>
          <w:rFonts w:hint="eastAsia" w:asciiTheme="minorEastAsia" w:hAnsiTheme="minorEastAsia" w:eastAsiaTheme="minorEastAsia"/>
          <w:b/>
          <w:bCs/>
          <w:color w:val="000000" w:themeColor="text1"/>
          <w:sz w:val="24"/>
          <w:lang w:val="zh-CN"/>
          <w14:textFill>
            <w14:solidFill>
              <w14:schemeClr w14:val="tx1"/>
            </w14:solidFill>
          </w14:textFill>
        </w:rPr>
        <w:t>2.16 合同中止、终止</w:t>
      </w:r>
      <w:bookmarkEnd w:id="198"/>
      <w:bookmarkEnd w:id="199"/>
      <w:bookmarkEnd w:id="20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2.16.1双方当事人不得擅自中止或者终止合同；</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inorEastAsia" w:hAnsiTheme="minorEastAsia" w:eastAsiaTheme="minorEastAsia"/>
          <w:b/>
          <w:bCs/>
          <w:color w:val="000000" w:themeColor="text1"/>
          <w:sz w:val="24"/>
          <w:lang w:val="zh-CN"/>
          <w14:textFill>
            <w14:solidFill>
              <w14:schemeClr w14:val="tx1"/>
            </w14:solidFill>
          </w14:textFill>
        </w:rPr>
      </w:pPr>
      <w:bookmarkStart w:id="201" w:name="_Toc1125"/>
      <w:bookmarkStart w:id="202" w:name="_Toc14563"/>
      <w:bookmarkStart w:id="203" w:name="_Toc6596"/>
      <w:r>
        <w:rPr>
          <w:rFonts w:hint="eastAsia" w:asciiTheme="minorEastAsia" w:hAnsiTheme="minorEastAsia" w:eastAsiaTheme="minorEastAsia"/>
          <w:b/>
          <w:bCs/>
          <w:color w:val="000000" w:themeColor="text1"/>
          <w:sz w:val="24"/>
          <w:lang w:val="zh-CN"/>
          <w14:textFill>
            <w14:solidFill>
              <w14:schemeClr w14:val="tx1"/>
            </w14:solidFill>
          </w14:textFill>
        </w:rPr>
        <w:t>2.17 检验和验收</w:t>
      </w:r>
      <w:bookmarkEnd w:id="201"/>
      <w:bookmarkEnd w:id="202"/>
      <w:bookmarkEnd w:id="203"/>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w:t>
      </w:r>
      <w:r>
        <w:rPr>
          <w:rFonts w:hint="eastAsia" w:asciiTheme="minorEastAsia" w:hAnsiTheme="minorEastAsia" w:eastAsiaTheme="minorEastAsia"/>
          <w:color w:val="000000" w:themeColor="text1"/>
          <w:sz w:val="24"/>
          <w14:textFill>
            <w14:solidFill>
              <w14:schemeClr w14:val="tx1"/>
            </w14:solidFill>
          </w14:textFill>
        </w:rPr>
        <w:t>7</w:t>
      </w:r>
      <w:r>
        <w:rPr>
          <w:rFonts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color w:val="000000" w:themeColor="text1"/>
          <w:sz w:val="24"/>
          <w14:textFill>
            <w14:solidFill>
              <w14:schemeClr w14:val="tx1"/>
            </w14:solidFill>
          </w14:textFill>
        </w:rPr>
        <w:t>约定时间内组织验收，并可依法邀请相关方参加，验收应出具验收书。</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2.17.3检验和验收标准、程序等具体内容以及前述验收书的效力详见</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hint="eastAsia" w:asciiTheme="minorEastAsia" w:hAnsiTheme="minorEastAsia" w:eastAsiaTheme="minorEastAsia"/>
          <w:i/>
          <w:color w:val="000000" w:themeColor="text1"/>
          <w:sz w:val="24"/>
          <w14:textFill>
            <w14:solidFill>
              <w14:schemeClr w14:val="tx1"/>
            </w14:solidFill>
          </w14:textFill>
        </w:rPr>
        <w:t>。</w:t>
      </w:r>
    </w:p>
    <w:bookmarkEnd w:id="173"/>
    <w:bookmarkEnd w:id="174"/>
    <w:bookmarkEnd w:id="175"/>
    <w:bookmarkEnd w:id="176"/>
    <w:p>
      <w:pPr>
        <w:spacing w:line="360" w:lineRule="auto"/>
        <w:ind w:firstLine="437"/>
        <w:outlineLvl w:val="2"/>
        <w:rPr>
          <w:rFonts w:asciiTheme="minorEastAsia" w:hAnsiTheme="minorEastAsia" w:eastAsiaTheme="minorEastAsia"/>
          <w:b/>
          <w:color w:val="000000" w:themeColor="text1"/>
          <w:sz w:val="24"/>
          <w14:textFill>
            <w14:solidFill>
              <w14:schemeClr w14:val="tx1"/>
            </w14:solidFill>
          </w14:textFill>
        </w:rPr>
      </w:pPr>
      <w:bookmarkStart w:id="204" w:name="_Toc279701262"/>
      <w:bookmarkStart w:id="205" w:name="_Toc30599"/>
      <w:bookmarkStart w:id="206" w:name="_Toc259093691"/>
      <w:bookmarkStart w:id="207" w:name="_Toc487900372"/>
      <w:bookmarkStart w:id="208" w:name="_Toc18540"/>
      <w:bookmarkStart w:id="209" w:name="_Toc4355"/>
      <w:r>
        <w:rPr>
          <w:rFonts w:hint="eastAsia" w:asciiTheme="minorEastAsia" w:hAnsiTheme="minorEastAsia" w:eastAsiaTheme="minorEastAsia"/>
          <w:b/>
          <w:bCs/>
          <w:color w:val="000000" w:themeColor="text1"/>
          <w:sz w:val="24"/>
          <w:lang w:val="zh-CN"/>
          <w14:textFill>
            <w14:solidFill>
              <w14:schemeClr w14:val="tx1"/>
            </w14:solidFill>
          </w14:textFill>
        </w:rPr>
        <w:t>2.1</w:t>
      </w:r>
      <w:r>
        <w:rPr>
          <w:rFonts w:asciiTheme="minorEastAsia" w:hAnsiTheme="minorEastAsia" w:eastAsiaTheme="minorEastAsia"/>
          <w:b/>
          <w:bCs/>
          <w:color w:val="000000" w:themeColor="text1"/>
          <w:sz w:val="24"/>
          <w:lang w:val="zh-CN"/>
          <w14:textFill>
            <w14:solidFill>
              <w14:schemeClr w14:val="tx1"/>
            </w14:solidFill>
          </w14:textFill>
        </w:rPr>
        <w:t>8</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计量单位</w:t>
      </w:r>
      <w:bookmarkEnd w:id="204"/>
      <w:bookmarkEnd w:id="205"/>
      <w:bookmarkEnd w:id="206"/>
      <w:bookmarkEnd w:id="207"/>
      <w:bookmarkEnd w:id="208"/>
      <w:bookmarkEnd w:id="209"/>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除技术规范中另有规定外,合同的计量单位均使用国家法定计量单位。</w:t>
      </w:r>
    </w:p>
    <w:p>
      <w:pPr>
        <w:spacing w:line="360" w:lineRule="auto"/>
        <w:ind w:firstLine="437"/>
        <w:outlineLvl w:val="2"/>
        <w:rPr>
          <w:rFonts w:asciiTheme="minorEastAsia" w:hAnsiTheme="minorEastAsia" w:eastAsiaTheme="minorEastAsia"/>
          <w:b/>
          <w:bCs/>
          <w:color w:val="000000" w:themeColor="text1"/>
          <w:sz w:val="24"/>
          <w14:textFill>
            <w14:solidFill>
              <w14:schemeClr w14:val="tx1"/>
            </w14:solidFill>
          </w14:textFill>
        </w:rPr>
      </w:pPr>
      <w:bookmarkStart w:id="210" w:name="_Toc279701263"/>
      <w:bookmarkStart w:id="211" w:name="_Toc487900373"/>
      <w:bookmarkStart w:id="212" w:name="_Toc18567"/>
      <w:bookmarkStart w:id="213" w:name="_Toc259093692"/>
      <w:bookmarkStart w:id="214" w:name="_Toc10330"/>
      <w:bookmarkStart w:id="215" w:name="_Toc12773"/>
      <w:r>
        <w:rPr>
          <w:rFonts w:hint="eastAsia" w:asciiTheme="minorEastAsia" w:hAnsiTheme="minorEastAsia" w:eastAsiaTheme="minorEastAsia"/>
          <w:b/>
          <w:bCs/>
          <w:color w:val="000000" w:themeColor="text1"/>
          <w:sz w:val="24"/>
          <w14:textFill>
            <w14:solidFill>
              <w14:schemeClr w14:val="tx1"/>
            </w14:solidFill>
          </w14:textFill>
        </w:rPr>
        <w:t>2.</w:t>
      </w:r>
      <w:r>
        <w:rPr>
          <w:rFonts w:asciiTheme="minorEastAsia" w:hAnsiTheme="minorEastAsia" w:eastAsiaTheme="minorEastAsia"/>
          <w:b/>
          <w:bCs/>
          <w:color w:val="000000" w:themeColor="text1"/>
          <w:sz w:val="24"/>
          <w14:textFill>
            <w14:solidFill>
              <w14:schemeClr w14:val="tx1"/>
            </w14:solidFill>
          </w14:textFill>
        </w:rPr>
        <w:t>19</w:t>
      </w:r>
      <w:r>
        <w:rPr>
          <w:rFonts w:hint="eastAsia" w:asciiTheme="minorEastAsia" w:hAnsiTheme="minorEastAsia" w:eastAsiaTheme="minorEastAsia"/>
          <w:b/>
          <w:bCs/>
          <w:color w:val="000000" w:themeColor="text1"/>
          <w:sz w:val="24"/>
          <w14:textFill>
            <w14:solidFill>
              <w14:schemeClr w14:val="tx1"/>
            </w14:solidFill>
          </w14:textFill>
        </w:rPr>
        <w:t xml:space="preserve"> </w:t>
      </w:r>
      <w:r>
        <w:rPr>
          <w:rFonts w:hint="eastAsia" w:asciiTheme="minorEastAsia" w:hAnsiTheme="minorEastAsia" w:eastAsiaTheme="minorEastAsia"/>
          <w:b/>
          <w:bCs/>
          <w:color w:val="000000" w:themeColor="text1"/>
          <w:sz w:val="24"/>
          <w:lang w:val="zh-CN"/>
          <w14:textFill>
            <w14:solidFill>
              <w14:schemeClr w14:val="tx1"/>
            </w14:solidFill>
          </w14:textFill>
        </w:rPr>
        <w:t>合同使用的文字和</w:t>
      </w:r>
      <w:r>
        <w:rPr>
          <w:rFonts w:asciiTheme="minorEastAsia" w:hAnsiTheme="minorEastAsia" w:eastAsiaTheme="minorEastAsia"/>
          <w:b/>
          <w:bCs/>
          <w:color w:val="000000" w:themeColor="text1"/>
          <w:sz w:val="24"/>
          <w:lang w:val="zh-CN"/>
          <w14:textFill>
            <w14:solidFill>
              <w14:schemeClr w14:val="tx1"/>
            </w14:solidFill>
          </w14:textFill>
        </w:rPr>
        <w:t>适用的法律</w:t>
      </w:r>
      <w:bookmarkEnd w:id="210"/>
      <w:bookmarkEnd w:id="211"/>
      <w:bookmarkEnd w:id="212"/>
      <w:bookmarkEnd w:id="213"/>
      <w:bookmarkEnd w:id="214"/>
      <w:bookmarkEnd w:id="215"/>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19.1合同使用汉语书就</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变更和解释</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asciiTheme="minorEastAsia" w:hAnsiTheme="minorEastAsia" w:eastAsiaTheme="minorEastAsia"/>
          <w:color w:val="000000" w:themeColor="text1"/>
          <w:sz w:val="24"/>
          <w14:textFill>
            <w14:solidFill>
              <w14:schemeClr w14:val="tx1"/>
            </w14:solidFill>
          </w14:textFill>
        </w:rPr>
        <w:t>19</w:t>
      </w:r>
      <w:r>
        <w:rPr>
          <w:rFonts w:hint="eastAsia" w:asciiTheme="minorEastAsia" w:hAnsiTheme="minorEastAsia" w:eastAsiaTheme="minorEastAsia"/>
          <w:color w:val="000000" w:themeColor="text1"/>
          <w:sz w:val="24"/>
          <w14:textFill>
            <w14:solidFill>
              <w14:schemeClr w14:val="tx1"/>
            </w14:solidFill>
          </w14:textFill>
        </w:rPr>
        <w:t>.2合同适用</w:t>
      </w:r>
      <w:r>
        <w:rPr>
          <w:rFonts w:asciiTheme="minorEastAsia" w:hAnsiTheme="minorEastAsia" w:eastAsiaTheme="minorEastAsia"/>
          <w:color w:val="000000" w:themeColor="text1"/>
          <w:sz w:val="24"/>
          <w14:textFill>
            <w14:solidFill>
              <w14:schemeClr w14:val="tx1"/>
            </w14:solidFill>
          </w14:textFill>
        </w:rPr>
        <w:t>中华人民共和国法律。</w:t>
      </w:r>
    </w:p>
    <w:p>
      <w:pPr>
        <w:spacing w:line="360" w:lineRule="auto"/>
        <w:ind w:firstLine="437"/>
        <w:outlineLvl w:val="2"/>
        <w:rPr>
          <w:rFonts w:asciiTheme="minorEastAsia" w:hAnsiTheme="minorEastAsia" w:eastAsiaTheme="minorEastAsia"/>
          <w:b/>
          <w:color w:val="000000" w:themeColor="text1"/>
          <w:sz w:val="24"/>
          <w14:textFill>
            <w14:solidFill>
              <w14:schemeClr w14:val="tx1"/>
            </w14:solidFill>
          </w14:textFill>
        </w:rPr>
      </w:pPr>
      <w:bookmarkStart w:id="216" w:name="_Toc259093693"/>
      <w:bookmarkStart w:id="217" w:name="_Toc12004"/>
      <w:bookmarkStart w:id="218" w:name="_Toc16673"/>
      <w:bookmarkStart w:id="219" w:name="_Toc3148"/>
      <w:bookmarkStart w:id="220" w:name="_Toc279701264"/>
      <w:bookmarkStart w:id="221" w:name="_Toc487900374"/>
      <w:r>
        <w:rPr>
          <w:rFonts w:hint="eastAsia" w:asciiTheme="minorEastAsia" w:hAnsiTheme="minorEastAsia" w:eastAsiaTheme="minorEastAsia"/>
          <w:b/>
          <w:bCs/>
          <w:color w:val="000000" w:themeColor="text1"/>
          <w:sz w:val="24"/>
          <w:lang w:val="zh-CN"/>
          <w14:textFill>
            <w14:solidFill>
              <w14:schemeClr w14:val="tx1"/>
            </w14:solidFill>
          </w14:textFill>
        </w:rPr>
        <w:t>2.2</w:t>
      </w:r>
      <w:r>
        <w:rPr>
          <w:rFonts w:asciiTheme="minorEastAsia" w:hAnsiTheme="minorEastAsia" w:eastAsiaTheme="minorEastAsia"/>
          <w:b/>
          <w:bCs/>
          <w:color w:val="000000" w:themeColor="text1"/>
          <w:sz w:val="24"/>
          <w:lang w:val="zh-CN"/>
          <w14:textFill>
            <w14:solidFill>
              <w14:schemeClr w14:val="tx1"/>
            </w14:solidFill>
          </w14:textFill>
        </w:rPr>
        <w:t>0</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w:t>
      </w:r>
      <w:r>
        <w:rPr>
          <w:rFonts w:asciiTheme="minorEastAsia" w:hAnsiTheme="minorEastAsia" w:eastAsiaTheme="minorEastAsia"/>
          <w:b/>
          <w:bCs/>
          <w:color w:val="000000" w:themeColor="text1"/>
          <w:sz w:val="24"/>
          <w:lang w:val="zh-CN"/>
          <w14:textFill>
            <w14:solidFill>
              <w14:schemeClr w14:val="tx1"/>
            </w14:solidFill>
          </w14:textFill>
        </w:rPr>
        <w:t>履约保证金</w:t>
      </w:r>
      <w:bookmarkEnd w:id="216"/>
      <w:bookmarkEnd w:id="217"/>
      <w:bookmarkEnd w:id="218"/>
      <w:bookmarkEnd w:id="219"/>
      <w:bookmarkEnd w:id="220"/>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2.2</w:t>
      </w:r>
      <w:r>
        <w:rPr>
          <w:rFonts w:asciiTheme="minorEastAsia" w:hAnsiTheme="minorEastAsia" w:eastAsiaTheme="minorEastAsia"/>
          <w:color w:val="000000" w:themeColor="text1"/>
          <w:sz w:val="24"/>
          <w14:textFill>
            <w14:solidFill>
              <w14:schemeClr w14:val="tx1"/>
            </w14:solidFill>
          </w14:textFill>
        </w:rPr>
        <w:t>0</w:t>
      </w:r>
      <w:r>
        <w:rPr>
          <w:rFonts w:hint="eastAsia" w:asciiTheme="minorEastAsia" w:hAnsiTheme="minorEastAsia" w:eastAsiaTheme="minorEastAsia"/>
          <w:color w:val="000000" w:themeColor="text1"/>
          <w:sz w:val="24"/>
          <w14:textFill>
            <w14:solidFill>
              <w14:schemeClr w14:val="tx1"/>
            </w14:solidFill>
          </w14:textFill>
        </w:rPr>
        <w:t>.1采购文件要求乙方提交履约保证金的，乙方</w:t>
      </w:r>
      <w:r>
        <w:rPr>
          <w:rFonts w:asciiTheme="minorEastAsia" w:hAnsiTheme="minorEastAsia" w:eastAsiaTheme="minorEastAsia"/>
          <w:color w:val="000000" w:themeColor="text1"/>
          <w:sz w:val="24"/>
          <w14:textFill>
            <w14:solidFill>
              <w14:schemeClr w14:val="tx1"/>
            </w14:solidFill>
          </w14:textFill>
        </w:rPr>
        <w:t>应按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约定的方式</w:t>
      </w:r>
      <w:r>
        <w:rPr>
          <w:rFonts w:hint="eastAsia" w:asciiTheme="minorEastAsia" w:hAnsiTheme="minorEastAsia" w:eastAsiaTheme="minorEastAsia"/>
          <w:color w:val="000000" w:themeColor="text1"/>
          <w:sz w:val="24"/>
          <w14:textFill>
            <w14:solidFill>
              <w14:schemeClr w14:val="tx1"/>
            </w14:solidFill>
          </w14:textFill>
        </w:rPr>
        <w:t>，以支票、汇票、本票或者金融机构、担保机构出具的保函等非现金形式提交；</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2.2</w:t>
      </w:r>
      <w:r>
        <w:rPr>
          <w:rFonts w:asciiTheme="minorEastAsia" w:hAnsiTheme="minorEastAsia" w:eastAsiaTheme="minorEastAsia"/>
          <w:color w:val="000000" w:themeColor="text1"/>
          <w:sz w:val="24"/>
          <w14:textFill>
            <w14:solidFill>
              <w14:schemeClr w14:val="tx1"/>
            </w14:solidFill>
          </w14:textFill>
        </w:rPr>
        <w:t>0.2履约保证金在</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约定期间内或者货物质量保证期内不予退还或者应完全有效</w:t>
      </w:r>
      <w:r>
        <w:rPr>
          <w:rFonts w:hint="eastAsia" w:asciiTheme="minorEastAsia" w:hAnsiTheme="minorEastAsia" w:eastAsiaTheme="minorEastAsia"/>
          <w:color w:val="000000" w:themeColor="text1"/>
          <w:sz w:val="24"/>
          <w14:textFill>
            <w14:solidFill>
              <w14:schemeClr w14:val="tx1"/>
            </w14:solidFill>
          </w14:textFill>
        </w:rPr>
        <w:t>，前述约定期间届满或者</w:t>
      </w:r>
      <w:r>
        <w:rPr>
          <w:rFonts w:asciiTheme="minorEastAsia" w:hAnsiTheme="minorEastAsia" w:eastAsiaTheme="minorEastAsia"/>
          <w:color w:val="000000" w:themeColor="text1"/>
          <w:sz w:val="24"/>
          <w14:textFill>
            <w14:solidFill>
              <w14:schemeClr w14:val="tx1"/>
            </w14:solidFill>
          </w14:textFill>
        </w:rPr>
        <w:t>货物质量保证期届满之日起</w:t>
      </w:r>
      <w:r>
        <w:rPr>
          <w:rFonts w:hint="eastAsia" w:asciiTheme="minorEastAsia" w:hAnsiTheme="minorEastAsia" w:eastAsia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个</w:t>
      </w:r>
      <w:r>
        <w:rPr>
          <w:rFonts w:asciiTheme="minorEastAsia" w:hAnsiTheme="minorEastAsia" w:eastAsiaTheme="minorEastAsia"/>
          <w:color w:val="000000" w:themeColor="text1"/>
          <w:sz w:val="24"/>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2.2</w:t>
      </w:r>
      <w:r>
        <w:rPr>
          <w:rFonts w:asciiTheme="minorEastAsia" w:hAnsiTheme="minorEastAsia" w:eastAsiaTheme="minorEastAsia"/>
          <w:color w:val="000000" w:themeColor="text1"/>
          <w:sz w:val="24"/>
          <w14:textFill>
            <w14:solidFill>
              <w14:schemeClr w14:val="tx1"/>
            </w14:solidFill>
          </w14:textFill>
        </w:rPr>
        <w:t>0</w:t>
      </w:r>
      <w:r>
        <w:rPr>
          <w:rFonts w:hint="eastAsia" w:asciiTheme="minorEastAsia" w:hAnsiTheme="minorEastAsia" w:eastAsiaTheme="minorEastAsia"/>
          <w:color w:val="000000" w:themeColor="text1"/>
          <w:sz w:val="24"/>
          <w14:textFill>
            <w14:solidFill>
              <w14:schemeClr w14:val="tx1"/>
            </w14:solidFill>
          </w14:textFill>
        </w:rPr>
        <w:t>.3</w:t>
      </w:r>
      <w:r>
        <w:rPr>
          <w:rFonts w:asciiTheme="minorEastAsia" w:hAnsiTheme="minorEastAsia" w:eastAsiaTheme="minorEastAsia"/>
          <w:color w:val="000000" w:themeColor="text1"/>
          <w:sz w:val="24"/>
          <w14:textFill>
            <w14:solidFill>
              <w14:schemeClr w14:val="tx1"/>
            </w14:solidFill>
          </w14:textFill>
        </w:rPr>
        <w:t>如果乙方不履行合同</w:t>
      </w:r>
      <w:r>
        <w:rPr>
          <w:rFonts w:hint="eastAsia" w:asciiTheme="minorEastAsia" w:hAnsiTheme="minorEastAsia" w:eastAsiaTheme="minorEastAsia"/>
          <w:color w:val="000000" w:themeColor="text1"/>
          <w:sz w:val="24"/>
          <w14:textFill>
            <w14:solidFill>
              <w14:schemeClr w14:val="tx1"/>
            </w14:solidFill>
          </w14:textFill>
        </w:rPr>
        <w:t>，履约保证金不予退还；如果乙方</w:t>
      </w:r>
      <w:r>
        <w:rPr>
          <w:rFonts w:asciiTheme="minorEastAsia" w:hAnsiTheme="minorEastAsia" w:eastAsiaTheme="minorEastAsia"/>
          <w:color w:val="000000" w:themeColor="text1"/>
          <w:sz w:val="24"/>
          <w14:textFill>
            <w14:solidFill>
              <w14:schemeClr w14:val="tx1"/>
            </w14:solidFill>
          </w14:textFill>
        </w:rPr>
        <w:t>未能按合同</w:t>
      </w:r>
      <w:r>
        <w:rPr>
          <w:rFonts w:hint="eastAsia" w:asciiTheme="minorEastAsia" w:hAnsiTheme="minorEastAsia" w:eastAsiaTheme="minorEastAsia"/>
          <w:color w:val="000000" w:themeColor="text1"/>
          <w:sz w:val="24"/>
          <w14:textFill>
            <w14:solidFill>
              <w14:schemeClr w14:val="tx1"/>
            </w14:solidFill>
          </w14:textFill>
        </w:rPr>
        <w:t>约</w:t>
      </w:r>
      <w:r>
        <w:rPr>
          <w:rFonts w:asciiTheme="minorEastAsia" w:hAnsiTheme="minorEastAsia" w:eastAsiaTheme="minorEastAsia"/>
          <w:color w:val="000000" w:themeColor="text1"/>
          <w:sz w:val="24"/>
          <w14:textFill>
            <w14:solidFill>
              <w14:schemeClr w14:val="tx1"/>
            </w14:solidFill>
          </w14:textFill>
        </w:rPr>
        <w:t>定全面履行义务，那么甲方有权从履约保证金中取得补偿或赔偿</w:t>
      </w:r>
      <w:r>
        <w:rPr>
          <w:rFonts w:hint="eastAsia" w:asciiTheme="minorEastAsia" w:hAnsiTheme="minorEastAsia" w:eastAsiaTheme="minorEastAsia"/>
          <w:color w:val="000000" w:themeColor="text1"/>
          <w:sz w:val="24"/>
          <w14:textFill>
            <w14:solidFill>
              <w14:schemeClr w14:val="tx1"/>
            </w14:solidFill>
          </w14:textFill>
        </w:rPr>
        <w:t>，同时不影响甲方要求乙方承担合同约定的超过履约保证金的违约责任的权利。</w:t>
      </w:r>
    </w:p>
    <w:bookmarkEnd w:id="221"/>
    <w:p>
      <w:pPr>
        <w:spacing w:line="360" w:lineRule="auto"/>
        <w:ind w:firstLine="437"/>
        <w:outlineLvl w:val="2"/>
        <w:rPr>
          <w:rFonts w:asciiTheme="minorEastAsia" w:hAnsiTheme="minorEastAsia" w:eastAsiaTheme="minorEastAsia"/>
          <w:b/>
          <w:color w:val="000000" w:themeColor="text1"/>
          <w:sz w:val="24"/>
          <w14:textFill>
            <w14:solidFill>
              <w14:schemeClr w14:val="tx1"/>
            </w14:solidFill>
          </w14:textFill>
        </w:rPr>
      </w:pPr>
      <w:bookmarkStart w:id="222" w:name="_Toc6885"/>
      <w:bookmarkStart w:id="223" w:name="_Toc19890"/>
      <w:bookmarkStart w:id="224" w:name="_Toc14001"/>
      <w:r>
        <w:rPr>
          <w:rFonts w:hint="eastAsia" w:asciiTheme="minorEastAsia" w:hAnsiTheme="minorEastAsia" w:eastAsiaTheme="minorEastAsia"/>
          <w:b/>
          <w:bCs/>
          <w:color w:val="000000" w:themeColor="text1"/>
          <w:sz w:val="24"/>
          <w:lang w:val="zh-CN"/>
          <w14:textFill>
            <w14:solidFill>
              <w14:schemeClr w14:val="tx1"/>
            </w14:solidFill>
          </w14:textFill>
        </w:rPr>
        <w:t>2.2</w:t>
      </w:r>
      <w:r>
        <w:rPr>
          <w:rFonts w:asciiTheme="minorEastAsia" w:hAnsiTheme="minorEastAsia" w:eastAsiaTheme="minorEastAsia"/>
          <w:b/>
          <w:bCs/>
          <w:color w:val="000000" w:themeColor="text1"/>
          <w:sz w:val="24"/>
          <w:lang w:val="zh-CN"/>
          <w14:textFill>
            <w14:solidFill>
              <w14:schemeClr w14:val="tx1"/>
            </w14:solidFill>
          </w14:textFill>
        </w:rPr>
        <w:t>1</w:t>
      </w:r>
      <w:r>
        <w:rPr>
          <w:rFonts w:hint="eastAsia" w:asciiTheme="minorEastAsia" w:hAnsiTheme="minorEastAsia" w:eastAsiaTheme="minorEastAsia"/>
          <w:b/>
          <w:bCs/>
          <w:color w:val="000000" w:themeColor="text1"/>
          <w:sz w:val="24"/>
          <w:lang w:val="zh-CN"/>
          <w14:textFill>
            <w14:solidFill>
              <w14:schemeClr w14:val="tx1"/>
            </w14:solidFill>
          </w14:textFill>
        </w:rPr>
        <w:t xml:space="preserve"> 合同份数</w:t>
      </w:r>
      <w:bookmarkEnd w:id="222"/>
      <w:bookmarkEnd w:id="223"/>
      <w:bookmarkEnd w:id="224"/>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合同份数按</w:t>
      </w:r>
      <w:r>
        <w:rPr>
          <w:rFonts w:asciiTheme="minorEastAsia" w:hAnsiTheme="minorEastAsia" w:eastAsiaTheme="minorEastAsia"/>
          <w:b/>
          <w:i/>
          <w:color w:val="000000" w:themeColor="text1"/>
          <w:sz w:val="24"/>
          <w:u w:val="single"/>
          <w14:textFill>
            <w14:solidFill>
              <w14:schemeClr w14:val="tx1"/>
            </w14:solidFill>
          </w14:textFill>
        </w:rPr>
        <w:t>合同专用条款</w:t>
      </w:r>
      <w:r>
        <w:rPr>
          <w:rFonts w:asciiTheme="minorEastAsia" w:hAnsiTheme="minorEastAsia" w:eastAsiaTheme="minorEastAsia"/>
          <w:color w:val="000000" w:themeColor="text1"/>
          <w:sz w:val="24"/>
          <w14:textFill>
            <w14:solidFill>
              <w14:schemeClr w14:val="tx1"/>
            </w14:solidFill>
          </w14:textFill>
        </w:rPr>
        <w:t>规定</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每份均具有同等法律效力</w:t>
      </w:r>
      <w:r>
        <w:rPr>
          <w:rFonts w:hint="eastAsia" w:asciiTheme="minorEastAsia" w:hAnsiTheme="minorEastAsia" w:eastAsiaTheme="minorEastAsia"/>
          <w:color w:val="000000" w:themeColor="text1"/>
          <w:sz w:val="24"/>
          <w14:textFill>
            <w14:solidFill>
              <w14:schemeClr w14:val="tx1"/>
            </w14:solidFill>
          </w14:textFill>
        </w:rPr>
        <w:t>。</w:t>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bookmarkStart w:id="225" w:name="_Toc331685784"/>
      <w:bookmarkStart w:id="226" w:name="_Toc29030"/>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225"/>
      <w:bookmarkEnd w:id="226"/>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本部分</w:t>
      </w:r>
      <w:r>
        <w:rPr>
          <w:rFonts w:asciiTheme="minorEastAsia" w:hAnsiTheme="minorEastAsia" w:eastAsiaTheme="minorEastAsia"/>
          <w:color w:val="000000" w:themeColor="text1"/>
          <w:sz w:val="24"/>
          <w14:textFill>
            <w14:solidFill>
              <w14:schemeClr w14:val="tx1"/>
            </w14:solidFill>
          </w14:textFill>
        </w:rPr>
        <w:t>是对</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部分的补充和修改</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如果</w:t>
      </w:r>
      <w:r>
        <w:rPr>
          <w:rFonts w:hint="eastAsia" w:asciiTheme="minorEastAsia" w:hAnsiTheme="minorEastAsia" w:eastAsiaTheme="minorEastAsia"/>
          <w:color w:val="000000" w:themeColor="text1"/>
          <w:sz w:val="24"/>
          <w14:textFill>
            <w14:solidFill>
              <w14:schemeClr w14:val="tx1"/>
            </w14:solidFill>
          </w14:textFill>
        </w:rPr>
        <w:t>前两</w:t>
      </w:r>
      <w:r>
        <w:rPr>
          <w:rFonts w:asciiTheme="minorEastAsia" w:hAnsiTheme="minorEastAsia" w:eastAsiaTheme="minorEastAsia"/>
          <w:color w:val="000000" w:themeColor="text1"/>
          <w:sz w:val="24"/>
          <w14:textFill>
            <w14:solidFill>
              <w14:schemeClr w14:val="tx1"/>
            </w14:solidFill>
          </w14:textFill>
        </w:rPr>
        <w:t>部分和本部分的约定不一致</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应以本部分的约定为准</w:t>
      </w:r>
      <w:r>
        <w:rPr>
          <w:rFonts w:hint="eastAsia" w:asciiTheme="minorEastAsia" w:hAnsiTheme="minorEastAsia" w:eastAsiaTheme="minorEastAsia"/>
          <w:color w:val="000000" w:themeColor="text1"/>
          <w:sz w:val="24"/>
          <w14:textFill>
            <w14:solidFill>
              <w14:schemeClr w14:val="tx1"/>
            </w14:solidFill>
          </w14:textFill>
        </w:rPr>
        <w:t>。</w:t>
      </w:r>
      <w:r>
        <w:rPr>
          <w:rFonts w:asciiTheme="minorEastAsia" w:hAnsiTheme="minorEastAsia" w:eastAsiaTheme="minorEastAsia"/>
          <w:color w:val="000000" w:themeColor="text1"/>
          <w:sz w:val="24"/>
          <w14:textFill>
            <w14:solidFill>
              <w14:schemeClr w14:val="tx1"/>
            </w14:solidFill>
          </w14:textFill>
        </w:rPr>
        <w:t>本部分的条款号应与</w:t>
      </w:r>
      <w:r>
        <w:rPr>
          <w:rFonts w:hint="eastAsia" w:asciiTheme="minorEastAsia" w:hAnsiTheme="minorEastAsia" w:eastAsiaTheme="minorEastAsia"/>
          <w:color w:val="000000" w:themeColor="text1"/>
          <w:sz w:val="24"/>
          <w14:textFill>
            <w14:solidFill>
              <w14:schemeClr w14:val="tx1"/>
            </w14:solidFill>
          </w14:textFill>
        </w:rPr>
        <w:t>前两部分</w:t>
      </w:r>
      <w:r>
        <w:rPr>
          <w:rFonts w:asciiTheme="minorEastAsia" w:hAnsiTheme="minorEastAsia" w:eastAsiaTheme="minorEastAsia"/>
          <w:color w:val="000000" w:themeColor="text1"/>
          <w:sz w:val="24"/>
          <w14:textFill>
            <w14:solidFill>
              <w14:schemeClr w14:val="tx1"/>
            </w14:solidFill>
          </w14:textFill>
        </w:rPr>
        <w:t>的条款号保持对应</w:t>
      </w:r>
      <w:r>
        <w:rPr>
          <w:rFonts w:hint="eastAsia" w:asciiTheme="minorEastAsia" w:hAnsiTheme="minorEastAsia" w:eastAsiaTheme="minorEastAsia"/>
          <w:color w:val="000000" w:themeColor="text1"/>
          <w:sz w:val="24"/>
          <w14:textFill>
            <w14:solidFill>
              <w14:schemeClr w14:val="tx1"/>
            </w14:solidFill>
          </w14:textFill>
        </w:rPr>
        <w:t>；与前两部分</w:t>
      </w:r>
      <w:r>
        <w:rPr>
          <w:rFonts w:asciiTheme="minorEastAsia" w:hAnsiTheme="minorEastAsia" w:eastAsiaTheme="minorEastAsia"/>
          <w:color w:val="000000" w:themeColor="text1"/>
          <w:sz w:val="24"/>
          <w14:textFill>
            <w14:solidFill>
              <w14:schemeClr w14:val="tx1"/>
            </w14:solidFill>
          </w14:textFill>
        </w:rPr>
        <w:t>无对应关系的内容可另行编制条款号</w:t>
      </w:r>
      <w:r>
        <w:rPr>
          <w:rFonts w:hint="eastAsia" w:asciiTheme="minorEastAsia" w:hAnsiTheme="minorEastAsia" w:eastAsiaTheme="minorEastAsia"/>
          <w:color w:val="000000" w:themeColor="text1"/>
          <w:sz w:val="24"/>
          <w14:textFill>
            <w14:solidFill>
              <w14:schemeClr w14:val="tx1"/>
            </w14:solidFill>
          </w14:textFill>
        </w:rPr>
        <w:t>。</w:t>
      </w:r>
    </w:p>
    <w:tbl>
      <w:tblPr>
        <w:tblStyle w:val="20"/>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条款号</w:t>
            </w:r>
          </w:p>
        </w:tc>
        <w:tc>
          <w:tcPr>
            <w:tcW w:w="4525" w:type="pct"/>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asciiTheme="minorEastAsia" w:hAnsiTheme="minorEastAsia" w:eastAsiaTheme="minorEastAsia"/>
                <w:b/>
                <w:color w:val="000000" w:themeColor="text1"/>
                <w:sz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color w:val="000000" w:themeColor="text1"/>
                <w:sz w:val="24"/>
                <w14:textFill>
                  <w14:solidFill>
                    <w14:schemeClr w14:val="tx1"/>
                  </w14:solidFill>
                </w14:textFill>
              </w:rPr>
            </w:pPr>
          </w:p>
        </w:tc>
      </w:tr>
    </w:tbl>
    <w:p>
      <w:pPr>
        <w:widowControl/>
        <w:jc w:val="left"/>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227" w:name="_Toc29013"/>
      <w:r>
        <w:rPr>
          <w:rFonts w:hint="eastAsia" w:asciiTheme="minorEastAsia" w:hAnsiTheme="minorEastAsia" w:eastAsiaTheme="minorEastAsia"/>
          <w:b/>
          <w:color w:val="auto"/>
          <w:sz w:val="28"/>
          <w:highlight w:val="none"/>
        </w:rPr>
        <w:t>第六章  响应文件格式</w:t>
      </w:r>
      <w:bookmarkEnd w:id="227"/>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28" w:name="_Toc32506"/>
      <w:bookmarkStart w:id="229" w:name="_Toc2536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28"/>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29"/>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30" w:name="_Toc13530"/>
      <w:bookmarkStart w:id="231" w:name="_Toc215"/>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30"/>
      <w:bookmarkEnd w:id="231"/>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2" w:name="_Toc11521"/>
      <w:bookmarkStart w:id="233" w:name="_Toc14197"/>
      <w:bookmarkStart w:id="234" w:name="_Hlk23205287"/>
      <w:r>
        <w:rPr>
          <w:rFonts w:hint="eastAsia" w:asciiTheme="minorEastAsia" w:hAnsiTheme="minorEastAsia" w:eastAsiaTheme="minorEastAsia"/>
          <w:b/>
          <w:color w:val="auto"/>
          <w:sz w:val="24"/>
          <w:highlight w:val="none"/>
        </w:rPr>
        <w:t>一、报价表</w:t>
      </w:r>
      <w:bookmarkEnd w:id="232"/>
      <w:bookmarkEnd w:id="233"/>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0"/>
        <w:gridCol w:w="1445"/>
        <w:gridCol w:w="1445"/>
        <w:gridCol w:w="736"/>
        <w:gridCol w:w="738"/>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7"/>
              <w:widowControl w:val="0"/>
              <w:spacing w:before="0" w:beforeAutospacing="0" w:after="0" w:afterAutospacing="0"/>
              <w:rPr>
                <w:rFonts w:asciiTheme="minorEastAsia" w:hAnsiTheme="minorEastAsia" w:eastAsiaTheme="minorEastAsia"/>
                <w:bCs w:val="0"/>
                <w:color w:val="auto"/>
                <w:kern w:val="2"/>
                <w:sz w:val="24"/>
                <w:szCs w:val="24"/>
                <w:highlight w:val="none"/>
              </w:rPr>
            </w:pPr>
            <w:r>
              <w:rPr>
                <w:rFonts w:hint="eastAsia" w:asciiTheme="minorEastAsia" w:hAnsiTheme="minorEastAsia" w:eastAsiaTheme="minorEastAsia"/>
                <w:bCs w:val="0"/>
                <w:color w:val="auto"/>
                <w:kern w:val="2"/>
                <w:sz w:val="24"/>
                <w:szCs w:val="24"/>
                <w:highlight w:val="none"/>
              </w:rPr>
              <w:t>序号</w:t>
            </w:r>
          </w:p>
        </w:tc>
        <w:tc>
          <w:tcPr>
            <w:tcW w:w="776"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货物名称</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品牌、型</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号</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原产地及</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生产厂商</w:t>
            </w:r>
          </w:p>
        </w:tc>
        <w:tc>
          <w:tcPr>
            <w:tcW w:w="394"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单位</w:t>
            </w:r>
          </w:p>
        </w:tc>
        <w:tc>
          <w:tcPr>
            <w:tcW w:w="395"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数量</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单价</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小计</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39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vAlign w:val="center"/>
          </w:tcPr>
          <w:p>
            <w:pPr>
              <w:pStyle w:val="35"/>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其他费用</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pStyle w:val="35"/>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合计（元）</w:t>
            </w:r>
          </w:p>
        </w:tc>
        <w:tc>
          <w:tcPr>
            <w:tcW w:w="1102" w:type="pct"/>
            <w:gridSpan w:val="2"/>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.表中报价即为优惠后报价，并作为评审及定标依据。任何有选择或有条件的报价，或者表中某一包别填写多个报价，均为无效报价。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5" w:name="_Toc17882"/>
      <w:bookmarkStart w:id="236" w:name="_Toc26924"/>
      <w:r>
        <w:rPr>
          <w:rFonts w:hint="eastAsia" w:asciiTheme="minorEastAsia" w:hAnsiTheme="minorEastAsia" w:eastAsiaTheme="minorEastAsia"/>
          <w:b/>
          <w:color w:val="auto"/>
          <w:sz w:val="24"/>
          <w:highlight w:val="none"/>
        </w:rPr>
        <w:t>二、响应函</w:t>
      </w:r>
      <w:bookmarkEnd w:id="235"/>
      <w:bookmarkEnd w:id="236"/>
    </w:p>
    <w:p>
      <w:pPr>
        <w:pStyle w:val="11"/>
        <w:spacing w:line="360" w:lineRule="auto"/>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致：</w:t>
      </w:r>
      <w:r>
        <w:rPr>
          <w:rFonts w:hint="eastAsia" w:asciiTheme="minorEastAsia" w:hAnsiTheme="minorEastAsia" w:eastAsiaTheme="minorEastAsia"/>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根据贵方的询价公告和询价邀请，我方兹宣布同意如下：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.我方根据询价通知书的规定，严格履行合同的责任和义务,并保证于买方要求的日期内完成，并通过买方验收。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.我方已详细审核全部询价通知书，包括询价通知书的澄清或修改（如有），参考资料及有关附件，我方正式认可并遵守本次询价通知书，并对询价通知书各项条款、规定及要求均无异议。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.我方同意从询价通知书规定的响应文件提交截止日期起遵循本询价通知书，并在询价通知书规定的询价有效期之前均具有约束力。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37" w:name="_Toc963"/>
      <w:bookmarkStart w:id="238" w:name="_Toc27880"/>
      <w:r>
        <w:rPr>
          <w:rFonts w:hint="eastAsia" w:asciiTheme="minorEastAsia" w:hAnsiTheme="minorEastAsia" w:eastAsiaTheme="minorEastAsia"/>
          <w:b/>
          <w:color w:val="auto"/>
          <w:sz w:val="24"/>
          <w:highlight w:val="none"/>
          <w:lang w:val="en-US" w:eastAsia="zh-CN"/>
        </w:rPr>
        <w:t>三．供应商资格声明书</w:t>
      </w:r>
      <w:bookmarkEnd w:id="237"/>
      <w:r>
        <w:rPr>
          <w:rFonts w:hint="eastAsia" w:asciiTheme="minorEastAsia" w:hAnsiTheme="minorEastAsia" w:eastAsiaTheme="minorEastAsia"/>
          <w:b/>
          <w:color w:val="auto"/>
          <w:sz w:val="24"/>
          <w:highlight w:val="none"/>
          <w:lang w:val="en-US" w:eastAsia="zh-CN"/>
        </w:rPr>
        <w:t xml:space="preserve"> </w:t>
      </w:r>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在参与本次项目询价中，我单位承诺：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9" w:name="_Toc21371"/>
      <w:r>
        <w:rPr>
          <w:rFonts w:hint="eastAsia" w:asciiTheme="minorEastAsia" w:hAnsiTheme="minorEastAsia" w:eastAsiaTheme="minorEastAsia"/>
          <w:b/>
          <w:color w:val="auto"/>
          <w:sz w:val="24"/>
          <w:highlight w:val="none"/>
        </w:rPr>
        <w:t>四、授权书</w:t>
      </w:r>
      <w:bookmarkEnd w:id="238"/>
      <w:bookmarkEnd w:id="239"/>
    </w:p>
    <w:p>
      <w:pPr>
        <w:pStyle w:val="10"/>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询价过程的一切事宜，包括但不限于：提交响应文件、谈判、签约等。供应商授权代表在询价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2.法定代表人参加询价的无需提供授权书，提供身份证明扫描件。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0" w:name="_Toc24321"/>
      <w:bookmarkStart w:id="241" w:name="_Toc14799"/>
      <w:r>
        <w:rPr>
          <w:rFonts w:hint="eastAsia" w:asciiTheme="minorEastAsia" w:hAnsiTheme="minorEastAsia" w:eastAsiaTheme="minorEastAsia"/>
          <w:b/>
          <w:color w:val="auto"/>
          <w:sz w:val="24"/>
          <w:highlight w:val="none"/>
        </w:rPr>
        <w:t>五、响应表</w:t>
      </w:r>
      <w:bookmarkEnd w:id="240"/>
      <w:bookmarkEnd w:id="241"/>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5.1</w:t>
      </w:r>
      <w:r>
        <w:rPr>
          <w:rFonts w:hint="eastAsia" w:asciiTheme="minorEastAsia" w:hAnsiTheme="minorEastAsia" w:eastAsiaTheme="minorEastAsia"/>
          <w:b/>
          <w:color w:val="auto"/>
          <w:sz w:val="24"/>
          <w:highlight w:val="none"/>
        </w:rPr>
        <w:t>商务响应表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询价通知书要求</w:t>
            </w:r>
          </w:p>
        </w:tc>
        <w:tc>
          <w:tcPr>
            <w:tcW w:w="1511"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5"/>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5.2</w:t>
      </w:r>
      <w:r>
        <w:rPr>
          <w:rFonts w:hint="eastAsia" w:asciiTheme="minorEastAsia" w:hAnsiTheme="minorEastAsia" w:eastAsiaTheme="minorEastAsia"/>
          <w:b/>
          <w:color w:val="auto"/>
          <w:sz w:val="24"/>
          <w:highlight w:val="none"/>
        </w:rPr>
        <w:t>技术响应表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询价通知书规定的技术参数要求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2" w:name="_Toc5390"/>
      <w:bookmarkStart w:id="243" w:name="_Toc10896"/>
      <w:r>
        <w:rPr>
          <w:rFonts w:hint="eastAsia" w:asciiTheme="minorEastAsia" w:hAnsiTheme="minorEastAsia" w:eastAsiaTheme="minorEastAsia"/>
          <w:b/>
          <w:color w:val="auto"/>
          <w:sz w:val="24"/>
          <w:highlight w:val="none"/>
          <w:lang w:eastAsia="zh-CN"/>
        </w:rPr>
        <w:t>六</w:t>
      </w:r>
      <w:r>
        <w:rPr>
          <w:rFonts w:hint="eastAsia" w:asciiTheme="minorEastAsia" w:hAnsiTheme="minorEastAsia" w:eastAsiaTheme="minorEastAsia"/>
          <w:b/>
          <w:color w:val="auto"/>
          <w:sz w:val="24"/>
          <w:highlight w:val="none"/>
        </w:rPr>
        <w:t>、联合协议</w:t>
      </w:r>
      <w:bookmarkEnd w:id="242"/>
      <w:bookmarkEnd w:id="243"/>
    </w:p>
    <w:p>
      <w:pPr>
        <w:pStyle w:val="1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本项目的报价，</w:t>
      </w:r>
      <w:r>
        <w:rPr>
          <w:rFonts w:asciiTheme="minorEastAsia" w:hAnsiTheme="minorEastAsia" w:eastAsiaTheme="minorEastAsia"/>
          <w:color w:val="auto"/>
          <w:sz w:val="24"/>
          <w:highlight w:val="none"/>
        </w:rPr>
        <w:t>现就联合体事宜订立如下协议：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在本项目报价阶段，联合体牵头人负责项目的一切组织、协调工作，并授权代理人以联合体的名义参加项目的询价，代理人</w:t>
      </w:r>
      <w:r>
        <w:rPr>
          <w:rFonts w:ascii="宋体" w:hAnsi="宋体" w:eastAsia="宋体" w:cs="宋体"/>
          <w:sz w:val="24"/>
          <w:szCs w:val="24"/>
        </w:rPr>
        <w:t>在项目采购过程中</w:t>
      </w:r>
      <w:r>
        <w:rPr>
          <w:rFonts w:hint="eastAsia" w:asciiTheme="minorEastAsia" w:hAnsiTheme="minorEastAsia" w:eastAsiaTheme="minorEastAsia"/>
          <w:color w:val="auto"/>
          <w:sz w:val="24"/>
          <w:highlight w:val="none"/>
        </w:rPr>
        <w:t>所签署的一切文件和处理与本项目有关的一切事务，联合体各方均予以承认并承担法律责任。联合体成交后，联合体各方共同与采购人签订合同，就本项目对采购人承担连带责任。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响应文件编制、提交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p>
    <w:p>
      <w:pPr>
        <w:spacing w:line="360" w:lineRule="auto"/>
        <w:ind w:right="480" w:firstLine="4680" w:firstLineChars="1950"/>
        <w:rPr>
          <w:rFonts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44" w:name="_Toc16514"/>
      <w:r>
        <w:rPr>
          <w:rFonts w:hint="eastAsia" w:asciiTheme="minorEastAsia" w:hAnsiTheme="minorEastAsia" w:eastAsiaTheme="minorEastAsia"/>
          <w:b/>
          <w:color w:val="auto"/>
          <w:sz w:val="24"/>
          <w:highlight w:val="none"/>
          <w:lang w:val="en-US" w:eastAsia="zh-CN"/>
        </w:rPr>
        <w:t>七．拟分包情况说明及分包意向协议</w:t>
      </w:r>
      <w:bookmarkEnd w:id="244"/>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询价，拟签订分包合同的单位情况如下表所示，我单位承诺一旦在该项目中获得采购合同将按下表所列情况进行分包，同时承诺分包承担主体不再次分包。</w:t>
      </w:r>
    </w:p>
    <w:tbl>
      <w:tblPr>
        <w:tblStyle w:val="51"/>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2"/>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2"/>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2"/>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2"/>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2"/>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2"/>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2"/>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jc w:val="both"/>
              <w:rPr>
                <w:rFonts w:hint="eastAsia" w:ascii="宋体" w:hAnsi="宋体" w:eastAsia="宋体" w:cs="宋体"/>
              </w:rPr>
            </w:pP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eastAsia="zh-CN"/>
        </w:rPr>
        <w:t>询价通知书</w:t>
      </w:r>
      <w:r>
        <w:rPr>
          <w:rFonts w:hint="eastAsia" w:asciiTheme="minorEastAsia" w:hAnsiTheme="minorEastAsia" w:eastAsiaTheme="minorEastAsia"/>
          <w:color w:val="auto"/>
          <w:sz w:val="24"/>
          <w:highlight w:val="none"/>
        </w:rPr>
        <w:t>载明本项目分包承担主体应具备的相应资质条件，则</w:t>
      </w:r>
      <w:r>
        <w:rPr>
          <w:rFonts w:hint="eastAsia" w:asciiTheme="minorEastAsia" w:hAnsiTheme="minorEastAsia" w:eastAsiaTheme="minorEastAsia"/>
          <w:color w:val="auto"/>
          <w:sz w:val="24"/>
          <w:highlight w:val="none"/>
          <w:lang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6" w:type="default"/>
          <w:footerReference r:id="rId7"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eastAsia="zh-CN"/>
        </w:rPr>
        <w:t>采购</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，代理人</w:t>
      </w:r>
      <w:r>
        <w:rPr>
          <w:rFonts w:ascii="宋体" w:hAnsi="宋体" w:eastAsia="宋体" w:cs="宋体"/>
          <w:sz w:val="24"/>
          <w:szCs w:val="24"/>
        </w:rPr>
        <w:t>在项目采购过程中</w:t>
      </w:r>
      <w:r>
        <w:rPr>
          <w:rFonts w:hint="eastAsia" w:asciiTheme="minorEastAsia" w:hAnsiTheme="minorEastAsia" w:eastAsiaTheme="minorEastAsia"/>
          <w:sz w:val="24"/>
        </w:rPr>
        <w:t>所签署的一切文件和处理与本次</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hint="eastAsia" w:asciiTheme="minorEastAsia" w:hAnsiTheme="minorEastAsia" w:eastAsiaTheme="minorEastAsia"/>
          <w:sz w:val="24"/>
          <w:lang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245" w:name="_Toc27991"/>
      <w:bookmarkStart w:id="246" w:name="_Toc3004"/>
      <w:bookmarkStart w:id="247" w:name="_Hlk6060603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、中小企业声明函</w:t>
      </w:r>
      <w:bookmarkEnd w:id="245"/>
      <w:bookmarkEnd w:id="246"/>
    </w:p>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非中小企业投标</w:t>
      </w:r>
      <w:r>
        <w:rPr>
          <w:rFonts w:hint="eastAsia" w:ascii="宋体" w:hAnsi="宋体" w:eastAsia="宋体"/>
          <w:b w:val="0"/>
          <w:i/>
          <w:color w:val="FF0000"/>
          <w:sz w:val="24"/>
          <w:highlight w:val="none"/>
          <w:lang w:val="en-US" w:eastAsia="zh-CN"/>
        </w:rPr>
        <w:t>，不需此件，请删去“中小企业声明函”；</w:t>
      </w:r>
      <w:r>
        <w:rPr>
          <w:rFonts w:hint="eastAsia" w:ascii="宋体" w:hAnsi="宋体" w:eastAsia="宋体"/>
          <w:b w:val="0"/>
          <w:i/>
          <w:color w:val="FF0000"/>
          <w:sz w:val="24"/>
          <w:highlight w:val="none"/>
          <w:lang w:val="zh-CN" w:eastAsia="zh-CN"/>
        </w:rPr>
        <w:t>中小企业投标</w:t>
      </w:r>
      <w:r>
        <w:rPr>
          <w:rFonts w:hint="eastAsia" w:ascii="宋体" w:hAnsi="宋体" w:eastAsia="宋体"/>
          <w:b w:val="0"/>
          <w:i/>
          <w:color w:val="FF0000"/>
          <w:sz w:val="24"/>
          <w:highlight w:val="none"/>
          <w:lang w:val="en-US" w:eastAsia="zh-CN"/>
        </w:rPr>
        <w:t>，请删去本提示内容）</w:t>
      </w:r>
    </w:p>
    <w:p>
      <w:pPr>
        <w:rPr>
          <w:rFonts w:asciiTheme="minorEastAsia" w:hAnsiTheme="minorEastAsia" w:eastAsiaTheme="minorEastAsia"/>
          <w:color w:val="auto"/>
          <w:sz w:val="24"/>
          <w:szCs w:val="24"/>
          <w:highlight w:val="none"/>
        </w:rPr>
      </w:pPr>
    </w:p>
    <w:p>
      <w:pPr>
        <w:pStyle w:val="17"/>
        <w:keepNext w:val="0"/>
        <w:keepLines w:val="0"/>
        <w:widowControl/>
        <w:suppressLineNumbers w:val="0"/>
        <w:rPr>
          <w:rFonts w:ascii="宋体" w:hAnsi="宋体" w:eastAsia="宋体"/>
          <w:color w:val="auto"/>
          <w:sz w:val="24"/>
          <w:szCs w:val="24"/>
          <w:highlight w:val="none"/>
          <w:lang w:val="zh-CN"/>
        </w:rPr>
      </w:pPr>
      <w:bookmarkStart w:id="248" w:name="OLE_LINK14"/>
      <w:bookmarkStart w:id="249" w:name="OLE_LINK13"/>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default" w:ascii="宋体" w:hAnsi="宋体" w:eastAsia="宋体"/>
          <w:color w:val="auto"/>
          <w:sz w:val="24"/>
          <w:szCs w:val="24"/>
          <w:highlight w:val="none"/>
          <w:u w:val="single"/>
          <w:lang w:val="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47"/>
    <w:bookmarkEnd w:id="248"/>
    <w:bookmarkEnd w:id="249"/>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0" w:name="_Toc2147"/>
      <w:bookmarkStart w:id="251" w:name="_Toc29137"/>
      <w:bookmarkStart w:id="252" w:name="_Hlk60606117"/>
      <w:r>
        <w:rPr>
          <w:rFonts w:hint="eastAsia" w:asciiTheme="minorEastAsia" w:hAnsiTheme="minorEastAsia" w:eastAsiaTheme="minorEastAsia"/>
          <w:b/>
          <w:color w:val="auto"/>
          <w:sz w:val="24"/>
          <w:highlight w:val="none"/>
          <w:lang w:eastAsia="zh-CN"/>
        </w:rPr>
        <w:t>九</w:t>
      </w:r>
      <w:r>
        <w:rPr>
          <w:rFonts w:hint="eastAsia" w:asciiTheme="minorEastAsia" w:hAnsiTheme="minorEastAsia" w:eastAsiaTheme="minorEastAsia"/>
          <w:b/>
          <w:color w:val="auto"/>
          <w:sz w:val="24"/>
          <w:highlight w:val="none"/>
        </w:rPr>
        <w:t>、残疾人福利性单位声明函</w:t>
      </w:r>
      <w:bookmarkEnd w:id="250"/>
      <w:bookmarkEnd w:id="251"/>
    </w:p>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（请完整填写声明函内容，否则不予认可；非残疾人福利性单位投标，请删去“残疾人福利性单位声明函”；残疾人福利性单位</w:t>
      </w:r>
      <w:r>
        <w:rPr>
          <w:rFonts w:hint="eastAsia" w:ascii="宋体" w:hAnsi="宋体" w:eastAsia="宋体"/>
          <w:b w:val="0"/>
          <w:i/>
          <w:color w:val="FF0000"/>
          <w:sz w:val="24"/>
          <w:highlight w:val="none"/>
          <w:lang w:val="zh-CN" w:eastAsia="zh-CN"/>
        </w:rPr>
        <w:t>投标</w:t>
      </w:r>
      <w:r>
        <w:rPr>
          <w:rFonts w:hint="eastAsia" w:ascii="宋体" w:hAnsi="宋体" w:eastAsia="宋体"/>
          <w:b w:val="0"/>
          <w:i/>
          <w:color w:val="FF0000"/>
          <w:sz w:val="24"/>
          <w:highlight w:val="none"/>
          <w:lang w:val="en-US" w:eastAsia="zh-CN"/>
        </w:rPr>
        <w:t>，请删去本提示内容）</w:t>
      </w:r>
    </w:p>
    <w:p>
      <w:pPr>
        <w:spacing w:line="360" w:lineRule="auto"/>
        <w:ind w:firstLine="435"/>
        <w:rPr>
          <w:rFonts w:asciiTheme="minorEastAsia" w:hAnsiTheme="minorEastAsia" w:eastAsiaTheme="minorEastAsia"/>
          <w:color w:val="auto"/>
          <w:spacing w:val="6"/>
          <w:sz w:val="24"/>
          <w:szCs w:val="24"/>
          <w:highlight w:val="none"/>
        </w:rPr>
      </w:pP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52"/>
    <w:p>
      <w:pPr>
        <w:spacing w:line="360" w:lineRule="auto"/>
        <w:ind w:firstLine="435"/>
        <w:rPr>
          <w:rFonts w:cs="Cambria Math" w:asciiTheme="minorEastAsia" w:hAnsiTheme="minorEastAsia" w:eastAsiaTheme="minorEastAsia"/>
          <w:b/>
          <w:color w:val="auto"/>
          <w:sz w:val="24"/>
          <w:szCs w:val="24"/>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3" w:name="_Toc1350"/>
      <w:bookmarkStart w:id="254" w:name="_Toc23417"/>
      <w:r>
        <w:rPr>
          <w:rFonts w:hint="eastAsia" w:asciiTheme="minorEastAsia" w:hAnsiTheme="minorEastAsia" w:eastAsiaTheme="minorEastAsia"/>
          <w:b/>
          <w:color w:val="auto"/>
          <w:sz w:val="24"/>
          <w:highlight w:val="none"/>
        </w:rPr>
        <w:t>十、诚信履约承诺函</w:t>
      </w:r>
      <w:bookmarkEnd w:id="253"/>
      <w:bookmarkEnd w:id="254"/>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255" w:name="_Toc19513"/>
      <w:bookmarkStart w:id="256" w:name="_Toc1260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eastAsia="zh-CN"/>
        </w:rPr>
        <w:t>一</w:t>
      </w:r>
      <w:r>
        <w:rPr>
          <w:rFonts w:hint="eastAsia" w:asciiTheme="minorEastAsia" w:hAnsiTheme="minorEastAsia" w:eastAsiaTheme="minorEastAsia"/>
          <w:b/>
          <w:color w:val="auto"/>
          <w:sz w:val="24"/>
          <w:highlight w:val="none"/>
        </w:rPr>
        <w:t>、其他相关证明材料</w:t>
      </w:r>
      <w:bookmarkEnd w:id="255"/>
      <w:bookmarkEnd w:id="25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提供符合询价邀请、采购需求及评审方法规定的相关证明文件。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asciiTheme="minorEastAsia" w:hAnsiTheme="minorEastAsia" w:eastAsiaTheme="minorEastAsia"/>
          <w:color w:val="auto"/>
          <w:sz w:val="24"/>
          <w:highlight w:val="none"/>
        </w:rPr>
        <w:t>询价通知书要求上传的证明资料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bookmarkEnd w:id="234"/>
    <w:p>
      <w:pPr>
        <w:widowControl/>
        <w:jc w:val="left"/>
        <w:rPr>
          <w:rFonts w:asciiTheme="minorEastAsia" w:hAnsiTheme="minorEastAsia" w:eastAsiaTheme="minorEastAsia"/>
          <w:bCs/>
          <w:color w:val="auto"/>
          <w:sz w:val="24"/>
          <w:highlight w:val="none"/>
        </w:rPr>
      </w:pPr>
      <w:bookmarkStart w:id="257" w:name="_Toc60608832"/>
      <w:bookmarkStart w:id="258" w:name="_Toc11711"/>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59" w:name="_Toc114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eastAsia="zh-CN"/>
        </w:rPr>
        <w:t>七</w:t>
      </w:r>
      <w:r>
        <w:rPr>
          <w:rFonts w:hint="eastAsia" w:asciiTheme="minorEastAsia" w:hAnsiTheme="minorEastAsia" w:eastAsiaTheme="minorEastAsia"/>
          <w:b/>
          <w:color w:val="auto"/>
          <w:sz w:val="28"/>
          <w:highlight w:val="none"/>
        </w:rPr>
        <w:t>章</w:t>
      </w:r>
      <w:r>
        <w:rPr>
          <w:rFonts w:hint="eastAsia"/>
          <w:b/>
          <w:bCs/>
          <w:color w:val="auto"/>
          <w:sz w:val="28"/>
          <w:highlight w:val="none"/>
        </w:rPr>
        <w:t xml:space="preserve">  </w:t>
      </w:r>
      <w:bookmarkEnd w:id="257"/>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58"/>
      <w:bookmarkEnd w:id="259"/>
    </w:p>
    <w:p>
      <w:pPr>
        <w:spacing w:line="360" w:lineRule="auto"/>
        <w:jc w:val="center"/>
        <w:outlineLvl w:val="1"/>
        <w:rPr>
          <w:rFonts w:ascii="仿宋" w:hAnsi="仿宋" w:eastAsia="仿宋" w:cs="仿宋"/>
          <w:b/>
          <w:bCs/>
          <w:color w:val="auto"/>
          <w:sz w:val="32"/>
          <w:szCs w:val="44"/>
          <w:highlight w:val="none"/>
        </w:rPr>
      </w:pPr>
      <w:bookmarkStart w:id="260" w:name="_Toc29389"/>
      <w:bookmarkStart w:id="261" w:name="_Toc10045"/>
      <w:r>
        <w:rPr>
          <w:rFonts w:hint="eastAsia" w:ascii="仿宋" w:hAnsi="仿宋" w:eastAsia="仿宋" w:cs="仿宋"/>
          <w:b/>
          <w:bCs/>
          <w:color w:val="auto"/>
          <w:sz w:val="32"/>
          <w:szCs w:val="44"/>
          <w:highlight w:val="none"/>
        </w:rPr>
        <w:t>询问函范本</w:t>
      </w:r>
      <w:bookmarkEnd w:id="260"/>
      <w:bookmarkEnd w:id="261"/>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lang w:val="en-US" w:eastAsia="zh-CN"/>
        </w:rPr>
        <w:t xml:space="preserve"> </w:t>
      </w:r>
      <w:r>
        <w:rPr>
          <w:rFonts w:hint="eastAsia" w:cs="仿宋" w:asciiTheme="minorEastAsia" w:hAnsiTheme="minorEastAsia" w:eastAsiaTheme="minorEastAsia"/>
          <w:color w:val="auto"/>
          <w:sz w:val="24"/>
          <w:szCs w:val="24"/>
        </w:rPr>
        <w:t>(</w:t>
      </w:r>
      <w:r>
        <w:rPr>
          <w:rFonts w:hint="eastAsia" w:cs="仿宋" w:asciiTheme="minorEastAsia" w:hAnsiTheme="minorEastAsia" w:eastAsiaTheme="minorEastAsia"/>
          <w:color w:val="auto"/>
          <w:sz w:val="24"/>
          <w:szCs w:val="24"/>
          <w:lang w:val="en-US" w:eastAsia="zh-CN"/>
        </w:rPr>
        <w:t>项目名称、</w:t>
      </w:r>
      <w:r>
        <w:rPr>
          <w:rFonts w:hint="eastAsia" w:cs="仿宋" w:asciiTheme="minorEastAsia" w:hAnsiTheme="minorEastAsia" w:eastAsiaTheme="minorEastAsia"/>
          <w:color w:val="auto"/>
          <w:sz w:val="24"/>
          <w:szCs w:val="24"/>
        </w:rPr>
        <w:t>编号)的采购活动，现有以下内容(或条款)存在疑问(或无法理解)，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62" w:name="_Toc29678"/>
      <w:bookmarkStart w:id="263" w:name="_Toc23472"/>
      <w:r>
        <w:rPr>
          <w:rFonts w:hint="eastAsia" w:cs="仿宋" w:asciiTheme="minorEastAsia" w:hAnsiTheme="minorEastAsia" w:eastAsiaTheme="minorEastAsia"/>
          <w:color w:val="auto"/>
          <w:sz w:val="24"/>
          <w:szCs w:val="24"/>
          <w:highlight w:val="none"/>
        </w:rPr>
        <w:t>一、(事项一)</w:t>
      </w:r>
      <w:bookmarkEnd w:id="262"/>
      <w:bookmarkEnd w:id="263"/>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64" w:name="_Toc22463"/>
      <w:bookmarkStart w:id="265" w:name="_Toc20836"/>
      <w:r>
        <w:rPr>
          <w:rFonts w:hint="eastAsia" w:cs="仿宋" w:asciiTheme="minorEastAsia" w:hAnsiTheme="minorEastAsia" w:eastAsiaTheme="minorEastAsia"/>
          <w:color w:val="auto"/>
          <w:sz w:val="24"/>
          <w:szCs w:val="24"/>
          <w:highlight w:val="none"/>
        </w:rPr>
        <w:t>二、(事项二)</w:t>
      </w:r>
      <w:bookmarkEnd w:id="264"/>
      <w:bookmarkEnd w:id="265"/>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cs="仿宋" w:asciiTheme="minorEastAsia" w:hAnsiTheme="minorEastAsia" w:eastAsiaTheme="minorEastAsia"/>
          <w:b/>
          <w:bCs/>
          <w:color w:val="auto"/>
          <w:sz w:val="32"/>
          <w:szCs w:val="44"/>
          <w:highlight w:val="none"/>
        </w:rPr>
      </w:pPr>
      <w:bookmarkStart w:id="266" w:name="_Toc31458"/>
      <w:bookmarkStart w:id="267" w:name="_Toc15057"/>
      <w:r>
        <w:rPr>
          <w:rFonts w:hint="eastAsia" w:cs="仿宋" w:asciiTheme="minorEastAsia" w:hAnsiTheme="minorEastAsia" w:eastAsiaTheme="minorEastAsia"/>
          <w:b/>
          <w:bCs/>
          <w:color w:val="auto"/>
          <w:sz w:val="32"/>
          <w:szCs w:val="44"/>
          <w:highlight w:val="none"/>
        </w:rPr>
        <w:t>质疑函范本</w:t>
      </w:r>
      <w:bookmarkEnd w:id="266"/>
      <w:bookmarkEnd w:id="267"/>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68" w:name="_Toc22823"/>
      <w:bookmarkStart w:id="269" w:name="_Toc21471"/>
      <w:r>
        <w:rPr>
          <w:rFonts w:hint="eastAsia" w:cs="仿宋" w:asciiTheme="minorEastAsia" w:hAnsiTheme="minorEastAsia" w:eastAsiaTheme="minorEastAsia"/>
          <w:b/>
          <w:bCs/>
          <w:color w:val="auto"/>
          <w:sz w:val="24"/>
          <w:szCs w:val="24"/>
          <w:highlight w:val="none"/>
        </w:rPr>
        <w:t>一、质疑供应商基本信息</w:t>
      </w:r>
      <w:bookmarkEnd w:id="268"/>
      <w:bookmarkEnd w:id="26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70" w:name="_Toc3326"/>
      <w:bookmarkStart w:id="271" w:name="_Toc10721"/>
      <w:r>
        <w:rPr>
          <w:rFonts w:hint="eastAsia" w:cs="仿宋" w:asciiTheme="minorEastAsia" w:hAnsiTheme="minorEastAsia" w:eastAsiaTheme="minorEastAsia"/>
          <w:b/>
          <w:bCs/>
          <w:color w:val="auto"/>
          <w:sz w:val="24"/>
          <w:szCs w:val="24"/>
          <w:highlight w:val="none"/>
        </w:rPr>
        <w:t>二、质疑项目基本情况</w:t>
      </w:r>
      <w:bookmarkEnd w:id="270"/>
      <w:bookmarkEnd w:id="271"/>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72" w:name="_Toc21619"/>
      <w:bookmarkStart w:id="273" w:name="_Toc8391"/>
      <w:r>
        <w:rPr>
          <w:rFonts w:hint="eastAsia" w:cs="仿宋" w:asciiTheme="minorEastAsia" w:hAnsiTheme="minorEastAsia" w:eastAsiaTheme="minorEastAsia"/>
          <w:b/>
          <w:bCs/>
          <w:color w:val="auto"/>
          <w:sz w:val="24"/>
          <w:szCs w:val="24"/>
          <w:highlight w:val="none"/>
        </w:rPr>
        <w:t>三、质疑事项具体内容</w:t>
      </w:r>
      <w:bookmarkEnd w:id="272"/>
      <w:bookmarkEnd w:id="273"/>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74" w:name="_Toc10324"/>
      <w:bookmarkStart w:id="275" w:name="_Toc31747"/>
      <w:r>
        <w:rPr>
          <w:rFonts w:hint="eastAsia" w:cs="仿宋" w:asciiTheme="minorEastAsia" w:hAnsiTheme="minorEastAsia" w:eastAsiaTheme="minorEastAsia"/>
          <w:b/>
          <w:bCs/>
          <w:color w:val="auto"/>
          <w:sz w:val="24"/>
          <w:szCs w:val="24"/>
          <w:highlight w:val="none"/>
        </w:rPr>
        <w:t>四、与质疑事项相关的质疑请求</w:t>
      </w:r>
      <w:bookmarkEnd w:id="274"/>
      <w:bookmarkEnd w:id="27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cs="仿宋" w:asciiTheme="minorEastAsia" w:hAnsiTheme="minorEastAsia" w:eastAsiaTheme="minorEastAsia"/>
          <w:color w:val="auto"/>
          <w:sz w:val="32"/>
          <w:szCs w:val="32"/>
          <w:highlight w:val="none"/>
        </w:rPr>
      </w:pPr>
      <w:r>
        <w:rPr>
          <w:rFonts w:cs="仿宋" w:asciiTheme="minorEastAsia" w:hAnsiTheme="minorEastAsia" w:eastAsiaTheme="minorEastAsia"/>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76" w:name="_Toc29795"/>
      <w:bookmarkStart w:id="277" w:name="_Toc27249"/>
      <w:r>
        <w:rPr>
          <w:rFonts w:hint="eastAsia" w:asciiTheme="minorEastAsia" w:hAnsiTheme="minorEastAsia" w:eastAsiaTheme="minorEastAsia"/>
          <w:b/>
          <w:color w:val="auto"/>
          <w:sz w:val="28"/>
          <w:szCs w:val="32"/>
          <w:highlight w:val="none"/>
        </w:rPr>
        <w:t>质疑函制作说明：</w:t>
      </w:r>
      <w:bookmarkEnd w:id="276"/>
      <w:bookmarkEnd w:id="27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heme="minorEastAsia" w:hAnsiTheme="minorEastAsia"/>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sz w:val="21"/>
        <w:szCs w:val="21"/>
      </w:rPr>
      <w:id w:val="-1000811171"/>
    </w:sdtPr>
    <w:sdtEndPr>
      <w:rPr>
        <w:rFonts w:hint="eastAsia" w:cs="宋体" w:asciiTheme="minorEastAsia" w:hAnsiTheme="minorEastAsia" w:eastAsiaTheme="minorEastAsia"/>
        <w:sz w:val="21"/>
        <w:szCs w:val="21"/>
      </w:rPr>
    </w:sdtEndPr>
    <w:sdtContent>
      <w:sdt>
        <w:sdtPr>
          <w:rPr>
            <w:rFonts w:hint="eastAsia" w:ascii="宋体" w:hAnsi="宋体" w:eastAsia="宋体" w:cs="宋体"/>
            <w:sz w:val="21"/>
            <w:szCs w:val="21"/>
          </w:rPr>
          <w:id w:val="-1669238322"/>
        </w:sdtPr>
        <w:sdtEndPr>
          <w:rPr>
            <w:rFonts w:hint="eastAsia" w:cs="宋体" w:asciiTheme="minorEastAsia" w:hAnsiTheme="minorEastAsia" w:eastAsiaTheme="minorEastAsia"/>
            <w:sz w:val="21"/>
            <w:szCs w:val="21"/>
          </w:rPr>
        </w:sdtEndPr>
        <w:sdtContent>
          <w:p>
            <w:pPr>
              <w:pStyle w:val="13"/>
              <w:jc w:val="center"/>
              <w:rPr>
                <w:rFonts w:asciiTheme="minorEastAsia" w:hAnsiTheme="minorEastAsia" w:eastAsiaTheme="minorEastAsia"/>
                <w:sz w:val="21"/>
                <w:szCs w:val="21"/>
              </w:rPr>
            </w:pPr>
            <w:r>
              <w:rPr>
                <w:rFonts w:hint="eastAsia" w:ascii="宋体" w:hAnsi="宋体" w:eastAsia="宋体" w:cs="宋体"/>
                <w:sz w:val="21"/>
                <w:szCs w:val="21"/>
              </w:rPr>
              <w:t>第</w:t>
            </w:r>
            <w:r>
              <w:rPr>
                <w:rFonts w:hint="eastAsia" w:ascii="宋体" w:hAnsi="宋体" w:eastAsia="宋体" w:cs="宋体"/>
                <w:sz w:val="21"/>
                <w:szCs w:val="21"/>
                <w:lang w:val="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w:instrText>
            </w:r>
            <w:r>
              <w:rPr>
                <w:rFonts w:hint="eastAsia" w:ascii="宋体" w:hAnsi="宋体" w:eastAsia="宋体" w:cs="宋体"/>
                <w:sz w:val="21"/>
                <w:szCs w:val="21"/>
              </w:rPr>
              <w:fldChar w:fldCharType="separate"/>
            </w:r>
            <w:r>
              <w:rPr>
                <w:rFonts w:hint="eastAsia" w:ascii="宋体" w:hAnsi="宋体" w:eastAsia="宋体" w:cs="宋体"/>
                <w:sz w:val="21"/>
                <w:szCs w:val="21"/>
              </w:rPr>
              <w:t>44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eastAsiaTheme="minorEastAsia"/>
        <w:lang w:eastAsia="zh-CN"/>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62C9F"/>
    <w:multiLevelType w:val="singleLevel"/>
    <w:tmpl w:val="1D962C9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16BE"/>
    <w:rsid w:val="000020D0"/>
    <w:rsid w:val="00002178"/>
    <w:rsid w:val="00003B1C"/>
    <w:rsid w:val="000049DA"/>
    <w:rsid w:val="000056B7"/>
    <w:rsid w:val="000131F7"/>
    <w:rsid w:val="0001462A"/>
    <w:rsid w:val="00016B6C"/>
    <w:rsid w:val="00020B57"/>
    <w:rsid w:val="000346AB"/>
    <w:rsid w:val="000378C1"/>
    <w:rsid w:val="00037DBE"/>
    <w:rsid w:val="00042139"/>
    <w:rsid w:val="00042B14"/>
    <w:rsid w:val="00044F49"/>
    <w:rsid w:val="000450C3"/>
    <w:rsid w:val="00046DF9"/>
    <w:rsid w:val="00050A3F"/>
    <w:rsid w:val="00050B55"/>
    <w:rsid w:val="000530EC"/>
    <w:rsid w:val="000544DE"/>
    <w:rsid w:val="00057E76"/>
    <w:rsid w:val="00061134"/>
    <w:rsid w:val="0006460A"/>
    <w:rsid w:val="000648D2"/>
    <w:rsid w:val="0006565F"/>
    <w:rsid w:val="00070E0E"/>
    <w:rsid w:val="00073C57"/>
    <w:rsid w:val="00076DB7"/>
    <w:rsid w:val="00080FEB"/>
    <w:rsid w:val="000871CC"/>
    <w:rsid w:val="00094D41"/>
    <w:rsid w:val="00097CB9"/>
    <w:rsid w:val="000A6693"/>
    <w:rsid w:val="000A6B73"/>
    <w:rsid w:val="000A7D94"/>
    <w:rsid w:val="000B1511"/>
    <w:rsid w:val="000B474F"/>
    <w:rsid w:val="000B54F4"/>
    <w:rsid w:val="000C1DB1"/>
    <w:rsid w:val="000D1414"/>
    <w:rsid w:val="000D2188"/>
    <w:rsid w:val="000D3F37"/>
    <w:rsid w:val="000D69D4"/>
    <w:rsid w:val="000E06F6"/>
    <w:rsid w:val="000E3C74"/>
    <w:rsid w:val="000E3F9B"/>
    <w:rsid w:val="000E6689"/>
    <w:rsid w:val="000F172B"/>
    <w:rsid w:val="000F2198"/>
    <w:rsid w:val="000F39B6"/>
    <w:rsid w:val="000F6B7B"/>
    <w:rsid w:val="00100B0F"/>
    <w:rsid w:val="0010187C"/>
    <w:rsid w:val="001037E3"/>
    <w:rsid w:val="001165D0"/>
    <w:rsid w:val="00116A70"/>
    <w:rsid w:val="001213A8"/>
    <w:rsid w:val="0012143A"/>
    <w:rsid w:val="001222C6"/>
    <w:rsid w:val="00132A16"/>
    <w:rsid w:val="00136D80"/>
    <w:rsid w:val="00137C7C"/>
    <w:rsid w:val="00140687"/>
    <w:rsid w:val="00144D72"/>
    <w:rsid w:val="00146421"/>
    <w:rsid w:val="001479CF"/>
    <w:rsid w:val="00155F64"/>
    <w:rsid w:val="00157856"/>
    <w:rsid w:val="00160198"/>
    <w:rsid w:val="00160729"/>
    <w:rsid w:val="00166ED8"/>
    <w:rsid w:val="001714C9"/>
    <w:rsid w:val="001770B6"/>
    <w:rsid w:val="00180C48"/>
    <w:rsid w:val="0018119B"/>
    <w:rsid w:val="001844AB"/>
    <w:rsid w:val="00187282"/>
    <w:rsid w:val="00191C9B"/>
    <w:rsid w:val="001944B8"/>
    <w:rsid w:val="00196DA3"/>
    <w:rsid w:val="00197AC4"/>
    <w:rsid w:val="001A5D34"/>
    <w:rsid w:val="001A68E5"/>
    <w:rsid w:val="001B1A1E"/>
    <w:rsid w:val="001B2A54"/>
    <w:rsid w:val="001B5014"/>
    <w:rsid w:val="001B5961"/>
    <w:rsid w:val="001B7327"/>
    <w:rsid w:val="001C2B92"/>
    <w:rsid w:val="001C67F2"/>
    <w:rsid w:val="001D3C19"/>
    <w:rsid w:val="001D53B4"/>
    <w:rsid w:val="001E3914"/>
    <w:rsid w:val="001F27F8"/>
    <w:rsid w:val="001F28D2"/>
    <w:rsid w:val="001F2F45"/>
    <w:rsid w:val="001F3023"/>
    <w:rsid w:val="001F35F6"/>
    <w:rsid w:val="001F74CA"/>
    <w:rsid w:val="00200340"/>
    <w:rsid w:val="002003B6"/>
    <w:rsid w:val="00202248"/>
    <w:rsid w:val="00203577"/>
    <w:rsid w:val="002049B4"/>
    <w:rsid w:val="0020520B"/>
    <w:rsid w:val="00205D11"/>
    <w:rsid w:val="00213C55"/>
    <w:rsid w:val="002178B1"/>
    <w:rsid w:val="0022232A"/>
    <w:rsid w:val="00223CF4"/>
    <w:rsid w:val="00224C4A"/>
    <w:rsid w:val="0023407E"/>
    <w:rsid w:val="00240278"/>
    <w:rsid w:val="00240B40"/>
    <w:rsid w:val="002440D8"/>
    <w:rsid w:val="00244182"/>
    <w:rsid w:val="00260B94"/>
    <w:rsid w:val="00264F2E"/>
    <w:rsid w:val="00271245"/>
    <w:rsid w:val="00274A9E"/>
    <w:rsid w:val="00276292"/>
    <w:rsid w:val="00276BA1"/>
    <w:rsid w:val="00277094"/>
    <w:rsid w:val="00277264"/>
    <w:rsid w:val="00286D62"/>
    <w:rsid w:val="00287EF5"/>
    <w:rsid w:val="002927A3"/>
    <w:rsid w:val="00293DB3"/>
    <w:rsid w:val="002A1A1D"/>
    <w:rsid w:val="002A210D"/>
    <w:rsid w:val="002A28AD"/>
    <w:rsid w:val="002B1828"/>
    <w:rsid w:val="002B5318"/>
    <w:rsid w:val="002B6D27"/>
    <w:rsid w:val="002C3887"/>
    <w:rsid w:val="002D2965"/>
    <w:rsid w:val="002D3D02"/>
    <w:rsid w:val="002D4CB5"/>
    <w:rsid w:val="002D684B"/>
    <w:rsid w:val="002E3B26"/>
    <w:rsid w:val="002E4AB8"/>
    <w:rsid w:val="00300733"/>
    <w:rsid w:val="00310070"/>
    <w:rsid w:val="003110EC"/>
    <w:rsid w:val="00312317"/>
    <w:rsid w:val="00315CFF"/>
    <w:rsid w:val="00327C92"/>
    <w:rsid w:val="00333292"/>
    <w:rsid w:val="003344E7"/>
    <w:rsid w:val="0033580B"/>
    <w:rsid w:val="003365E7"/>
    <w:rsid w:val="003378D5"/>
    <w:rsid w:val="003405C8"/>
    <w:rsid w:val="003473D7"/>
    <w:rsid w:val="00351AC8"/>
    <w:rsid w:val="00353075"/>
    <w:rsid w:val="00356E10"/>
    <w:rsid w:val="00360BB3"/>
    <w:rsid w:val="00362A66"/>
    <w:rsid w:val="00363E02"/>
    <w:rsid w:val="00364500"/>
    <w:rsid w:val="00373A96"/>
    <w:rsid w:val="003826C2"/>
    <w:rsid w:val="00383728"/>
    <w:rsid w:val="0038382B"/>
    <w:rsid w:val="00391586"/>
    <w:rsid w:val="00394128"/>
    <w:rsid w:val="003947A4"/>
    <w:rsid w:val="00395235"/>
    <w:rsid w:val="0039561A"/>
    <w:rsid w:val="00397C7D"/>
    <w:rsid w:val="003A004F"/>
    <w:rsid w:val="003B3120"/>
    <w:rsid w:val="003B4130"/>
    <w:rsid w:val="003B67D3"/>
    <w:rsid w:val="003B715B"/>
    <w:rsid w:val="003C090D"/>
    <w:rsid w:val="003C230C"/>
    <w:rsid w:val="003D1D14"/>
    <w:rsid w:val="003D596D"/>
    <w:rsid w:val="003D6C7C"/>
    <w:rsid w:val="003D6EFB"/>
    <w:rsid w:val="003D7E52"/>
    <w:rsid w:val="003E25C6"/>
    <w:rsid w:val="003F145B"/>
    <w:rsid w:val="004011AA"/>
    <w:rsid w:val="0040202C"/>
    <w:rsid w:val="00405168"/>
    <w:rsid w:val="00406454"/>
    <w:rsid w:val="00406508"/>
    <w:rsid w:val="0041456E"/>
    <w:rsid w:val="00414DBE"/>
    <w:rsid w:val="00414F7E"/>
    <w:rsid w:val="004164F8"/>
    <w:rsid w:val="00416800"/>
    <w:rsid w:val="00416808"/>
    <w:rsid w:val="004259B5"/>
    <w:rsid w:val="004316E6"/>
    <w:rsid w:val="004427B7"/>
    <w:rsid w:val="0044349F"/>
    <w:rsid w:val="00445F1F"/>
    <w:rsid w:val="00451F60"/>
    <w:rsid w:val="00452BB2"/>
    <w:rsid w:val="0045656D"/>
    <w:rsid w:val="00462D98"/>
    <w:rsid w:val="00467C74"/>
    <w:rsid w:val="00472A44"/>
    <w:rsid w:val="00473A89"/>
    <w:rsid w:val="00475899"/>
    <w:rsid w:val="00482C78"/>
    <w:rsid w:val="004874AE"/>
    <w:rsid w:val="00492D00"/>
    <w:rsid w:val="00494D24"/>
    <w:rsid w:val="004951D1"/>
    <w:rsid w:val="004A27D0"/>
    <w:rsid w:val="004A4D67"/>
    <w:rsid w:val="004D366E"/>
    <w:rsid w:val="004D3D4B"/>
    <w:rsid w:val="004D5498"/>
    <w:rsid w:val="004D66A5"/>
    <w:rsid w:val="004D6B00"/>
    <w:rsid w:val="004E0260"/>
    <w:rsid w:val="004E1D50"/>
    <w:rsid w:val="004E7C2E"/>
    <w:rsid w:val="004F0396"/>
    <w:rsid w:val="00501382"/>
    <w:rsid w:val="00510798"/>
    <w:rsid w:val="005208A8"/>
    <w:rsid w:val="00524168"/>
    <w:rsid w:val="00524A11"/>
    <w:rsid w:val="00527768"/>
    <w:rsid w:val="005310A0"/>
    <w:rsid w:val="005327FB"/>
    <w:rsid w:val="00533FCA"/>
    <w:rsid w:val="00546D49"/>
    <w:rsid w:val="005521FF"/>
    <w:rsid w:val="005522FC"/>
    <w:rsid w:val="005535FD"/>
    <w:rsid w:val="00555596"/>
    <w:rsid w:val="005616B5"/>
    <w:rsid w:val="00561C68"/>
    <w:rsid w:val="005716D3"/>
    <w:rsid w:val="00574E6F"/>
    <w:rsid w:val="00581E19"/>
    <w:rsid w:val="00582882"/>
    <w:rsid w:val="00590CA2"/>
    <w:rsid w:val="00591629"/>
    <w:rsid w:val="00597B15"/>
    <w:rsid w:val="005A044C"/>
    <w:rsid w:val="005B06FD"/>
    <w:rsid w:val="005B5C95"/>
    <w:rsid w:val="005B7713"/>
    <w:rsid w:val="005D0200"/>
    <w:rsid w:val="005D0D6E"/>
    <w:rsid w:val="005D2A35"/>
    <w:rsid w:val="005D44EF"/>
    <w:rsid w:val="005D4814"/>
    <w:rsid w:val="005D5112"/>
    <w:rsid w:val="005E39CC"/>
    <w:rsid w:val="005F2CD1"/>
    <w:rsid w:val="005F3914"/>
    <w:rsid w:val="005F3B5A"/>
    <w:rsid w:val="005F6AB4"/>
    <w:rsid w:val="006006F5"/>
    <w:rsid w:val="00601585"/>
    <w:rsid w:val="00610A66"/>
    <w:rsid w:val="006114A4"/>
    <w:rsid w:val="00613177"/>
    <w:rsid w:val="00613D56"/>
    <w:rsid w:val="00613F7C"/>
    <w:rsid w:val="00614BF2"/>
    <w:rsid w:val="00623DE2"/>
    <w:rsid w:val="00627601"/>
    <w:rsid w:val="006300D0"/>
    <w:rsid w:val="00632012"/>
    <w:rsid w:val="00634694"/>
    <w:rsid w:val="00636517"/>
    <w:rsid w:val="00637690"/>
    <w:rsid w:val="00640B1D"/>
    <w:rsid w:val="00640E1E"/>
    <w:rsid w:val="0064389A"/>
    <w:rsid w:val="00645442"/>
    <w:rsid w:val="00647FB7"/>
    <w:rsid w:val="006525CD"/>
    <w:rsid w:val="00653F7F"/>
    <w:rsid w:val="00662EE8"/>
    <w:rsid w:val="00663813"/>
    <w:rsid w:val="00664AFD"/>
    <w:rsid w:val="00667567"/>
    <w:rsid w:val="0067391A"/>
    <w:rsid w:val="00674173"/>
    <w:rsid w:val="0067535A"/>
    <w:rsid w:val="00682560"/>
    <w:rsid w:val="00683CA0"/>
    <w:rsid w:val="00686FF3"/>
    <w:rsid w:val="00690DB1"/>
    <w:rsid w:val="00693404"/>
    <w:rsid w:val="00693702"/>
    <w:rsid w:val="006953D9"/>
    <w:rsid w:val="0069569F"/>
    <w:rsid w:val="006B104B"/>
    <w:rsid w:val="006B1242"/>
    <w:rsid w:val="006B1DBC"/>
    <w:rsid w:val="006B63B7"/>
    <w:rsid w:val="006B7D9A"/>
    <w:rsid w:val="006C06D9"/>
    <w:rsid w:val="006C10D1"/>
    <w:rsid w:val="006C4772"/>
    <w:rsid w:val="006C5716"/>
    <w:rsid w:val="006C74A9"/>
    <w:rsid w:val="006D07DE"/>
    <w:rsid w:val="006D2222"/>
    <w:rsid w:val="006E06D9"/>
    <w:rsid w:val="006E1D40"/>
    <w:rsid w:val="006E2E1F"/>
    <w:rsid w:val="006E7016"/>
    <w:rsid w:val="006F5B15"/>
    <w:rsid w:val="006F5FFF"/>
    <w:rsid w:val="006F6E33"/>
    <w:rsid w:val="006F7AF3"/>
    <w:rsid w:val="00710804"/>
    <w:rsid w:val="0071149E"/>
    <w:rsid w:val="00711FC6"/>
    <w:rsid w:val="007130B1"/>
    <w:rsid w:val="00715071"/>
    <w:rsid w:val="00721261"/>
    <w:rsid w:val="007231E9"/>
    <w:rsid w:val="007240F7"/>
    <w:rsid w:val="00727C59"/>
    <w:rsid w:val="00730271"/>
    <w:rsid w:val="00734E5D"/>
    <w:rsid w:val="00736013"/>
    <w:rsid w:val="00737661"/>
    <w:rsid w:val="00740D7F"/>
    <w:rsid w:val="007414E0"/>
    <w:rsid w:val="00745C94"/>
    <w:rsid w:val="00755D75"/>
    <w:rsid w:val="00756245"/>
    <w:rsid w:val="00760A01"/>
    <w:rsid w:val="00761662"/>
    <w:rsid w:val="00762106"/>
    <w:rsid w:val="00764043"/>
    <w:rsid w:val="00766B9C"/>
    <w:rsid w:val="007757CF"/>
    <w:rsid w:val="007772F4"/>
    <w:rsid w:val="0078128F"/>
    <w:rsid w:val="0078683C"/>
    <w:rsid w:val="00790EDB"/>
    <w:rsid w:val="00791538"/>
    <w:rsid w:val="0079326E"/>
    <w:rsid w:val="00796292"/>
    <w:rsid w:val="00796EDE"/>
    <w:rsid w:val="007A0DF9"/>
    <w:rsid w:val="007A5A58"/>
    <w:rsid w:val="007B1C56"/>
    <w:rsid w:val="007B4996"/>
    <w:rsid w:val="007B4F12"/>
    <w:rsid w:val="007B77B7"/>
    <w:rsid w:val="007C3CD5"/>
    <w:rsid w:val="007C5CD7"/>
    <w:rsid w:val="007C61EF"/>
    <w:rsid w:val="007D1C0D"/>
    <w:rsid w:val="007D2D23"/>
    <w:rsid w:val="007D37AB"/>
    <w:rsid w:val="007D3AD7"/>
    <w:rsid w:val="007E05C9"/>
    <w:rsid w:val="007E27D6"/>
    <w:rsid w:val="007E295A"/>
    <w:rsid w:val="007E3921"/>
    <w:rsid w:val="00801028"/>
    <w:rsid w:val="00803793"/>
    <w:rsid w:val="00807493"/>
    <w:rsid w:val="008149FD"/>
    <w:rsid w:val="00817A01"/>
    <w:rsid w:val="00825E35"/>
    <w:rsid w:val="00825E64"/>
    <w:rsid w:val="00826194"/>
    <w:rsid w:val="008334F8"/>
    <w:rsid w:val="008341AA"/>
    <w:rsid w:val="00845490"/>
    <w:rsid w:val="00847E67"/>
    <w:rsid w:val="00847ED2"/>
    <w:rsid w:val="00854042"/>
    <w:rsid w:val="00863FDD"/>
    <w:rsid w:val="00871F99"/>
    <w:rsid w:val="00876461"/>
    <w:rsid w:val="00876659"/>
    <w:rsid w:val="0087734C"/>
    <w:rsid w:val="00882141"/>
    <w:rsid w:val="008826D0"/>
    <w:rsid w:val="008922A8"/>
    <w:rsid w:val="00895BD5"/>
    <w:rsid w:val="008969F1"/>
    <w:rsid w:val="0089773E"/>
    <w:rsid w:val="008A1587"/>
    <w:rsid w:val="008A16C4"/>
    <w:rsid w:val="008A6589"/>
    <w:rsid w:val="008A6FED"/>
    <w:rsid w:val="008B39C5"/>
    <w:rsid w:val="008B4793"/>
    <w:rsid w:val="008B51AA"/>
    <w:rsid w:val="008B67A6"/>
    <w:rsid w:val="008C0F31"/>
    <w:rsid w:val="008C67F2"/>
    <w:rsid w:val="008D064A"/>
    <w:rsid w:val="008D2B0F"/>
    <w:rsid w:val="008D6228"/>
    <w:rsid w:val="008E2AFD"/>
    <w:rsid w:val="008E449E"/>
    <w:rsid w:val="008F187F"/>
    <w:rsid w:val="008F402F"/>
    <w:rsid w:val="008F76E8"/>
    <w:rsid w:val="008F7CD0"/>
    <w:rsid w:val="009078A1"/>
    <w:rsid w:val="00911E9C"/>
    <w:rsid w:val="00917405"/>
    <w:rsid w:val="00920F7C"/>
    <w:rsid w:val="00934CAE"/>
    <w:rsid w:val="0094257D"/>
    <w:rsid w:val="009435AB"/>
    <w:rsid w:val="0095467C"/>
    <w:rsid w:val="00954A61"/>
    <w:rsid w:val="00955C6F"/>
    <w:rsid w:val="00966C7B"/>
    <w:rsid w:val="009701DC"/>
    <w:rsid w:val="009715D8"/>
    <w:rsid w:val="00972D10"/>
    <w:rsid w:val="00985C4B"/>
    <w:rsid w:val="00986236"/>
    <w:rsid w:val="00993E5E"/>
    <w:rsid w:val="00995BF9"/>
    <w:rsid w:val="009A0CAF"/>
    <w:rsid w:val="009A1474"/>
    <w:rsid w:val="009A2207"/>
    <w:rsid w:val="009A4D84"/>
    <w:rsid w:val="009B1925"/>
    <w:rsid w:val="009B4399"/>
    <w:rsid w:val="009B6C42"/>
    <w:rsid w:val="009C051B"/>
    <w:rsid w:val="009D31F7"/>
    <w:rsid w:val="009D32C2"/>
    <w:rsid w:val="009D3BBD"/>
    <w:rsid w:val="009D50DB"/>
    <w:rsid w:val="009D74F6"/>
    <w:rsid w:val="009E0512"/>
    <w:rsid w:val="009E3A0A"/>
    <w:rsid w:val="009F174D"/>
    <w:rsid w:val="009F3E91"/>
    <w:rsid w:val="00A05068"/>
    <w:rsid w:val="00A13861"/>
    <w:rsid w:val="00A1499B"/>
    <w:rsid w:val="00A1537A"/>
    <w:rsid w:val="00A27403"/>
    <w:rsid w:val="00A314C2"/>
    <w:rsid w:val="00A572DB"/>
    <w:rsid w:val="00A6163A"/>
    <w:rsid w:val="00A63E86"/>
    <w:rsid w:val="00A63EE7"/>
    <w:rsid w:val="00A65A1C"/>
    <w:rsid w:val="00A757C3"/>
    <w:rsid w:val="00A75E5B"/>
    <w:rsid w:val="00A763E4"/>
    <w:rsid w:val="00A7684A"/>
    <w:rsid w:val="00A83B69"/>
    <w:rsid w:val="00A86533"/>
    <w:rsid w:val="00A91CA2"/>
    <w:rsid w:val="00A92FB8"/>
    <w:rsid w:val="00A948F1"/>
    <w:rsid w:val="00AA1D7D"/>
    <w:rsid w:val="00AB139D"/>
    <w:rsid w:val="00AB3EFB"/>
    <w:rsid w:val="00AB4A98"/>
    <w:rsid w:val="00AC0574"/>
    <w:rsid w:val="00AC0B05"/>
    <w:rsid w:val="00AC3CEB"/>
    <w:rsid w:val="00AD079A"/>
    <w:rsid w:val="00AD1890"/>
    <w:rsid w:val="00AE0687"/>
    <w:rsid w:val="00AE2149"/>
    <w:rsid w:val="00AE33AE"/>
    <w:rsid w:val="00AE3785"/>
    <w:rsid w:val="00AE3F91"/>
    <w:rsid w:val="00AE452F"/>
    <w:rsid w:val="00AE76E6"/>
    <w:rsid w:val="00AF2B21"/>
    <w:rsid w:val="00B00983"/>
    <w:rsid w:val="00B0267C"/>
    <w:rsid w:val="00B039E3"/>
    <w:rsid w:val="00B22838"/>
    <w:rsid w:val="00B33E95"/>
    <w:rsid w:val="00B351F2"/>
    <w:rsid w:val="00B3720B"/>
    <w:rsid w:val="00B37358"/>
    <w:rsid w:val="00B43A6D"/>
    <w:rsid w:val="00B4730C"/>
    <w:rsid w:val="00B541BC"/>
    <w:rsid w:val="00B54808"/>
    <w:rsid w:val="00B5558A"/>
    <w:rsid w:val="00B56513"/>
    <w:rsid w:val="00B56B2E"/>
    <w:rsid w:val="00B64376"/>
    <w:rsid w:val="00B70494"/>
    <w:rsid w:val="00B7401F"/>
    <w:rsid w:val="00B740A4"/>
    <w:rsid w:val="00B76345"/>
    <w:rsid w:val="00B806C3"/>
    <w:rsid w:val="00B84FCA"/>
    <w:rsid w:val="00B9089F"/>
    <w:rsid w:val="00B91AEE"/>
    <w:rsid w:val="00B93F8C"/>
    <w:rsid w:val="00B95F5A"/>
    <w:rsid w:val="00B96EAD"/>
    <w:rsid w:val="00BA1CA7"/>
    <w:rsid w:val="00BA79F5"/>
    <w:rsid w:val="00BB1F0D"/>
    <w:rsid w:val="00BB3AB6"/>
    <w:rsid w:val="00BB766D"/>
    <w:rsid w:val="00BC007B"/>
    <w:rsid w:val="00BC26BA"/>
    <w:rsid w:val="00BC35F8"/>
    <w:rsid w:val="00BD65C6"/>
    <w:rsid w:val="00BE481D"/>
    <w:rsid w:val="00BF06B9"/>
    <w:rsid w:val="00BF3696"/>
    <w:rsid w:val="00BF376F"/>
    <w:rsid w:val="00BF46A6"/>
    <w:rsid w:val="00C002C8"/>
    <w:rsid w:val="00C007CF"/>
    <w:rsid w:val="00C0634C"/>
    <w:rsid w:val="00C06545"/>
    <w:rsid w:val="00C06BA4"/>
    <w:rsid w:val="00C1161C"/>
    <w:rsid w:val="00C172D1"/>
    <w:rsid w:val="00C220FC"/>
    <w:rsid w:val="00C24DFA"/>
    <w:rsid w:val="00C46399"/>
    <w:rsid w:val="00C46A36"/>
    <w:rsid w:val="00C47037"/>
    <w:rsid w:val="00C474A2"/>
    <w:rsid w:val="00C53625"/>
    <w:rsid w:val="00C602C1"/>
    <w:rsid w:val="00C60EC3"/>
    <w:rsid w:val="00C61AFE"/>
    <w:rsid w:val="00C62248"/>
    <w:rsid w:val="00C63FC0"/>
    <w:rsid w:val="00C66392"/>
    <w:rsid w:val="00C6647F"/>
    <w:rsid w:val="00C74C5E"/>
    <w:rsid w:val="00C81F28"/>
    <w:rsid w:val="00C827A2"/>
    <w:rsid w:val="00C82B69"/>
    <w:rsid w:val="00C83483"/>
    <w:rsid w:val="00C853A3"/>
    <w:rsid w:val="00C86146"/>
    <w:rsid w:val="00C8698F"/>
    <w:rsid w:val="00C91B28"/>
    <w:rsid w:val="00C91F3A"/>
    <w:rsid w:val="00CA165D"/>
    <w:rsid w:val="00CA6293"/>
    <w:rsid w:val="00CA66F0"/>
    <w:rsid w:val="00CB5797"/>
    <w:rsid w:val="00CC1202"/>
    <w:rsid w:val="00CC7D56"/>
    <w:rsid w:val="00CD09E1"/>
    <w:rsid w:val="00CD6202"/>
    <w:rsid w:val="00CE1E40"/>
    <w:rsid w:val="00CE4913"/>
    <w:rsid w:val="00CE66BD"/>
    <w:rsid w:val="00CE7EDD"/>
    <w:rsid w:val="00CF0671"/>
    <w:rsid w:val="00CF44AD"/>
    <w:rsid w:val="00CF4FC0"/>
    <w:rsid w:val="00D1072F"/>
    <w:rsid w:val="00D108A5"/>
    <w:rsid w:val="00D14585"/>
    <w:rsid w:val="00D20EFF"/>
    <w:rsid w:val="00D25B46"/>
    <w:rsid w:val="00D34F0D"/>
    <w:rsid w:val="00D3516E"/>
    <w:rsid w:val="00D36E4D"/>
    <w:rsid w:val="00D4064C"/>
    <w:rsid w:val="00D4517C"/>
    <w:rsid w:val="00D51A68"/>
    <w:rsid w:val="00D5364E"/>
    <w:rsid w:val="00D53ED8"/>
    <w:rsid w:val="00D64857"/>
    <w:rsid w:val="00D6493A"/>
    <w:rsid w:val="00D67875"/>
    <w:rsid w:val="00D71E86"/>
    <w:rsid w:val="00D731C6"/>
    <w:rsid w:val="00D745C5"/>
    <w:rsid w:val="00D75327"/>
    <w:rsid w:val="00D75BAF"/>
    <w:rsid w:val="00D80C36"/>
    <w:rsid w:val="00D86779"/>
    <w:rsid w:val="00D86EE1"/>
    <w:rsid w:val="00D93F76"/>
    <w:rsid w:val="00D96126"/>
    <w:rsid w:val="00DB1FFF"/>
    <w:rsid w:val="00DB4B1C"/>
    <w:rsid w:val="00DB5085"/>
    <w:rsid w:val="00DC1062"/>
    <w:rsid w:val="00DC132C"/>
    <w:rsid w:val="00DC4543"/>
    <w:rsid w:val="00DD1224"/>
    <w:rsid w:val="00DD2560"/>
    <w:rsid w:val="00DD43F0"/>
    <w:rsid w:val="00DD44DE"/>
    <w:rsid w:val="00DE09AB"/>
    <w:rsid w:val="00DE2B2D"/>
    <w:rsid w:val="00DE4A3F"/>
    <w:rsid w:val="00DE6121"/>
    <w:rsid w:val="00DF4367"/>
    <w:rsid w:val="00E0574A"/>
    <w:rsid w:val="00E07412"/>
    <w:rsid w:val="00E11F17"/>
    <w:rsid w:val="00E1243D"/>
    <w:rsid w:val="00E12742"/>
    <w:rsid w:val="00E13A25"/>
    <w:rsid w:val="00E146D4"/>
    <w:rsid w:val="00E20976"/>
    <w:rsid w:val="00E22B44"/>
    <w:rsid w:val="00E30ACD"/>
    <w:rsid w:val="00E32735"/>
    <w:rsid w:val="00E450C0"/>
    <w:rsid w:val="00E662C9"/>
    <w:rsid w:val="00E667C6"/>
    <w:rsid w:val="00E66E36"/>
    <w:rsid w:val="00E66FE7"/>
    <w:rsid w:val="00E702ED"/>
    <w:rsid w:val="00E709A4"/>
    <w:rsid w:val="00E726ED"/>
    <w:rsid w:val="00E73822"/>
    <w:rsid w:val="00E772DB"/>
    <w:rsid w:val="00E81B8B"/>
    <w:rsid w:val="00E86012"/>
    <w:rsid w:val="00E86BAB"/>
    <w:rsid w:val="00E918F7"/>
    <w:rsid w:val="00E91B84"/>
    <w:rsid w:val="00E94E10"/>
    <w:rsid w:val="00E9502E"/>
    <w:rsid w:val="00E96743"/>
    <w:rsid w:val="00E96A42"/>
    <w:rsid w:val="00EA0A36"/>
    <w:rsid w:val="00EA49C5"/>
    <w:rsid w:val="00EA5107"/>
    <w:rsid w:val="00EA5D8A"/>
    <w:rsid w:val="00EB0C34"/>
    <w:rsid w:val="00EB5027"/>
    <w:rsid w:val="00EC1836"/>
    <w:rsid w:val="00EC3990"/>
    <w:rsid w:val="00EC484B"/>
    <w:rsid w:val="00EC65B0"/>
    <w:rsid w:val="00ED15FA"/>
    <w:rsid w:val="00ED45E5"/>
    <w:rsid w:val="00EE275B"/>
    <w:rsid w:val="00EE6E9A"/>
    <w:rsid w:val="00EF0BF1"/>
    <w:rsid w:val="00EF2AC4"/>
    <w:rsid w:val="00EF38E4"/>
    <w:rsid w:val="00EF397E"/>
    <w:rsid w:val="00EF5FC8"/>
    <w:rsid w:val="00F06F68"/>
    <w:rsid w:val="00F105B8"/>
    <w:rsid w:val="00F11930"/>
    <w:rsid w:val="00F1713B"/>
    <w:rsid w:val="00F2165E"/>
    <w:rsid w:val="00F24C2D"/>
    <w:rsid w:val="00F27356"/>
    <w:rsid w:val="00F32A81"/>
    <w:rsid w:val="00F3639E"/>
    <w:rsid w:val="00F40728"/>
    <w:rsid w:val="00F41324"/>
    <w:rsid w:val="00F436D9"/>
    <w:rsid w:val="00F46998"/>
    <w:rsid w:val="00F47100"/>
    <w:rsid w:val="00F5382D"/>
    <w:rsid w:val="00F53D9C"/>
    <w:rsid w:val="00F5462B"/>
    <w:rsid w:val="00F61D8D"/>
    <w:rsid w:val="00F634AD"/>
    <w:rsid w:val="00F63677"/>
    <w:rsid w:val="00F75B81"/>
    <w:rsid w:val="00F75D8A"/>
    <w:rsid w:val="00F804C4"/>
    <w:rsid w:val="00F82F83"/>
    <w:rsid w:val="00F82FED"/>
    <w:rsid w:val="00F832E5"/>
    <w:rsid w:val="00F87D65"/>
    <w:rsid w:val="00F92B30"/>
    <w:rsid w:val="00F933B9"/>
    <w:rsid w:val="00F94674"/>
    <w:rsid w:val="00F94919"/>
    <w:rsid w:val="00F94A59"/>
    <w:rsid w:val="00FA25B6"/>
    <w:rsid w:val="00FA2FAF"/>
    <w:rsid w:val="00FA573B"/>
    <w:rsid w:val="00FA64B1"/>
    <w:rsid w:val="00FA70F3"/>
    <w:rsid w:val="00FA71CD"/>
    <w:rsid w:val="00FB0453"/>
    <w:rsid w:val="00FB0C07"/>
    <w:rsid w:val="00FB298D"/>
    <w:rsid w:val="00FC1439"/>
    <w:rsid w:val="00FC724B"/>
    <w:rsid w:val="00FC7910"/>
    <w:rsid w:val="00FF0DA7"/>
    <w:rsid w:val="00FF1022"/>
    <w:rsid w:val="00FF44E0"/>
    <w:rsid w:val="00FF6C72"/>
    <w:rsid w:val="00FF783A"/>
    <w:rsid w:val="01621FDB"/>
    <w:rsid w:val="02BF6C59"/>
    <w:rsid w:val="04B765A2"/>
    <w:rsid w:val="059321F1"/>
    <w:rsid w:val="05AF72A0"/>
    <w:rsid w:val="05EE32AE"/>
    <w:rsid w:val="0A0236B4"/>
    <w:rsid w:val="0A5C407D"/>
    <w:rsid w:val="0C0E0A28"/>
    <w:rsid w:val="0C5C2F82"/>
    <w:rsid w:val="0D262A20"/>
    <w:rsid w:val="0F8347BD"/>
    <w:rsid w:val="145C4675"/>
    <w:rsid w:val="1475265D"/>
    <w:rsid w:val="14D2451C"/>
    <w:rsid w:val="157B6A2B"/>
    <w:rsid w:val="15D65C30"/>
    <w:rsid w:val="16CF07A1"/>
    <w:rsid w:val="18031DFC"/>
    <w:rsid w:val="180F1FC9"/>
    <w:rsid w:val="18633FE4"/>
    <w:rsid w:val="1A7B316A"/>
    <w:rsid w:val="1E8A0F92"/>
    <w:rsid w:val="1F04109E"/>
    <w:rsid w:val="21030661"/>
    <w:rsid w:val="211654D1"/>
    <w:rsid w:val="214D4F9D"/>
    <w:rsid w:val="218D5DCC"/>
    <w:rsid w:val="21A00E17"/>
    <w:rsid w:val="226326A4"/>
    <w:rsid w:val="23576714"/>
    <w:rsid w:val="245943B5"/>
    <w:rsid w:val="247C1540"/>
    <w:rsid w:val="278B4F71"/>
    <w:rsid w:val="28251390"/>
    <w:rsid w:val="28CE2356"/>
    <w:rsid w:val="295A2A3F"/>
    <w:rsid w:val="29F63606"/>
    <w:rsid w:val="2A1B7069"/>
    <w:rsid w:val="2C7C57CA"/>
    <w:rsid w:val="2E141EF5"/>
    <w:rsid w:val="2E1A575D"/>
    <w:rsid w:val="2E36227F"/>
    <w:rsid w:val="30A754DF"/>
    <w:rsid w:val="337E5DD0"/>
    <w:rsid w:val="33D161E8"/>
    <w:rsid w:val="34B2511B"/>
    <w:rsid w:val="371847E2"/>
    <w:rsid w:val="37BF2AC2"/>
    <w:rsid w:val="39185E60"/>
    <w:rsid w:val="3B214C05"/>
    <w:rsid w:val="3B6732A7"/>
    <w:rsid w:val="3B796242"/>
    <w:rsid w:val="3CEF068E"/>
    <w:rsid w:val="3D6E29D8"/>
    <w:rsid w:val="3DAC0EE9"/>
    <w:rsid w:val="3E9512FD"/>
    <w:rsid w:val="3F42428E"/>
    <w:rsid w:val="413A09E6"/>
    <w:rsid w:val="41676AB4"/>
    <w:rsid w:val="44046D3B"/>
    <w:rsid w:val="45D715E1"/>
    <w:rsid w:val="4A6D07B9"/>
    <w:rsid w:val="4BD9233D"/>
    <w:rsid w:val="4BE12910"/>
    <w:rsid w:val="52377F97"/>
    <w:rsid w:val="53110BF4"/>
    <w:rsid w:val="5607799E"/>
    <w:rsid w:val="58F509F1"/>
    <w:rsid w:val="59C4319E"/>
    <w:rsid w:val="59E4582B"/>
    <w:rsid w:val="59FC4F8A"/>
    <w:rsid w:val="5C372975"/>
    <w:rsid w:val="5C740423"/>
    <w:rsid w:val="5C7F166A"/>
    <w:rsid w:val="5E554AD3"/>
    <w:rsid w:val="5FDF6AB4"/>
    <w:rsid w:val="604D40FC"/>
    <w:rsid w:val="629D2560"/>
    <w:rsid w:val="644E6FB5"/>
    <w:rsid w:val="644F31D5"/>
    <w:rsid w:val="64EC6D10"/>
    <w:rsid w:val="67126006"/>
    <w:rsid w:val="674A241E"/>
    <w:rsid w:val="67BB0B3F"/>
    <w:rsid w:val="682F07AA"/>
    <w:rsid w:val="68807C64"/>
    <w:rsid w:val="68CD5DAB"/>
    <w:rsid w:val="69C21C42"/>
    <w:rsid w:val="6AC61574"/>
    <w:rsid w:val="6B3E7572"/>
    <w:rsid w:val="6BE2044C"/>
    <w:rsid w:val="6FBC2114"/>
    <w:rsid w:val="705F607C"/>
    <w:rsid w:val="70902932"/>
    <w:rsid w:val="71946328"/>
    <w:rsid w:val="735D4003"/>
    <w:rsid w:val="73FA265E"/>
    <w:rsid w:val="748C2191"/>
    <w:rsid w:val="74D745B8"/>
    <w:rsid w:val="74F764D9"/>
    <w:rsid w:val="75C537CD"/>
    <w:rsid w:val="766377D4"/>
    <w:rsid w:val="76E73479"/>
    <w:rsid w:val="77FD363B"/>
    <w:rsid w:val="784E1FE2"/>
    <w:rsid w:val="78803D6C"/>
    <w:rsid w:val="7B0809BE"/>
    <w:rsid w:val="7DB52BB3"/>
    <w:rsid w:val="7E490EF5"/>
    <w:rsid w:val="7E6E4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3"/>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5"/>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0"/>
    <w:qFormat/>
    <w:uiPriority w:val="0"/>
    <w:pPr>
      <w:keepNext/>
      <w:keepLines/>
      <w:spacing w:before="280" w:after="290" w:line="376" w:lineRule="auto"/>
      <w:outlineLvl w:val="3"/>
    </w:pPr>
    <w:rPr>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2"/>
    <w:qFormat/>
    <w:uiPriority w:val="0"/>
    <w:pPr>
      <w:jc w:val="left"/>
    </w:pPr>
    <w:rPr>
      <w:rFonts w:ascii="Arial" w:hAnsi="Arial" w:eastAsia="黑体" w:cs="Arial"/>
    </w:rPr>
  </w:style>
  <w:style w:type="paragraph" w:styleId="9">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1"/>
    <w:qFormat/>
    <w:uiPriority w:val="99"/>
    <w:rPr>
      <w:rFonts w:ascii="宋体" w:hAnsi="Courier New" w:eastAsiaTheme="minorEastAsia" w:cstheme="minorBidi"/>
      <w:szCs w:val="22"/>
    </w:rPr>
  </w:style>
  <w:style w:type="paragraph" w:styleId="11">
    <w:name w:val="Date"/>
    <w:basedOn w:val="1"/>
    <w:next w:val="1"/>
    <w:link w:val="38"/>
    <w:qFormat/>
    <w:uiPriority w:val="0"/>
    <w:rPr>
      <w:rFonts w:ascii="Arial" w:hAnsi="Arial" w:eastAsia="宋体" w:cs="Arial"/>
      <w:b/>
      <w:sz w:val="28"/>
    </w:rPr>
  </w:style>
  <w:style w:type="paragraph" w:styleId="12">
    <w:name w:val="Balloon Text"/>
    <w:basedOn w:val="1"/>
    <w:link w:val="25"/>
    <w:semiHidden/>
    <w:unhideWhenUsed/>
    <w:qFormat/>
    <w:uiPriority w:val="99"/>
    <w:rPr>
      <w:sz w:val="18"/>
      <w:szCs w:val="18"/>
    </w:rPr>
  </w:style>
  <w:style w:type="paragraph" w:styleId="13">
    <w:name w:val="footer"/>
    <w:basedOn w:val="1"/>
    <w:link w:val="30"/>
    <w:unhideWhenUsed/>
    <w:qFormat/>
    <w:uiPriority w:val="99"/>
    <w:pPr>
      <w:tabs>
        <w:tab w:val="center" w:pos="4153"/>
        <w:tab w:val="right" w:pos="8306"/>
      </w:tabs>
      <w:snapToGrid w:val="0"/>
      <w:jc w:val="left"/>
    </w:pPr>
    <w:rPr>
      <w:sz w:val="18"/>
      <w:szCs w:val="18"/>
    </w:rPr>
  </w:style>
  <w:style w:type="paragraph" w:styleId="14">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index 1"/>
    <w:basedOn w:val="1"/>
    <w:next w:val="1"/>
    <w:qFormat/>
    <w:uiPriority w:val="0"/>
    <w:pPr>
      <w:jc w:val="center"/>
    </w:pPr>
    <w:rPr>
      <w:rFonts w:ascii="Arial" w:hAnsi="Arial" w:eastAsia="Arial" w:cs="Arial"/>
      <w:b/>
      <w:bCs/>
      <w:sz w:val="28"/>
    </w:rPr>
  </w:style>
  <w:style w:type="paragraph" w:styleId="19">
    <w:name w:val="Body Text First Indent"/>
    <w:basedOn w:val="2"/>
    <w:unhideWhenUsed/>
    <w:qFormat/>
    <w:uiPriority w:val="99"/>
    <w:pPr>
      <w:ind w:firstLine="420" w:firstLineChars="100"/>
    </w:pPr>
  </w:style>
  <w:style w:type="table" w:styleId="21">
    <w:name w:val="Table Grid"/>
    <w:basedOn w:val="20"/>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customStyle="1" w:styleId="25">
    <w:name w:val="批注框文本 Char"/>
    <w:basedOn w:val="22"/>
    <w:link w:val="12"/>
    <w:semiHidden/>
    <w:qFormat/>
    <w:uiPriority w:val="99"/>
    <w:rPr>
      <w:rFonts w:ascii="@仿宋_GB2312" w:hAnsi="@仿宋_GB2312" w:eastAsia="@仿宋_GB2312" w:cs="@仿宋_GB2312"/>
      <w:sz w:val="18"/>
      <w:szCs w:val="18"/>
    </w:rPr>
  </w:style>
  <w:style w:type="paragraph" w:customStyle="1" w:styleId="26">
    <w:name w:val="正文（缩进）"/>
    <w:basedOn w:val="1"/>
    <w:qFormat/>
    <w:uiPriority w:val="0"/>
    <w:pPr>
      <w:widowControl/>
      <w:spacing w:before="156" w:after="156"/>
      <w:ind w:firstLine="480" w:firstLineChars="200"/>
      <w:jc w:val="left"/>
    </w:pPr>
    <w:rPr>
      <w:kern w:val="0"/>
      <w:sz w:val="24"/>
      <w:szCs w:val="24"/>
    </w:rPr>
  </w:style>
  <w:style w:type="paragraph" w:customStyle="1" w:styleId="27">
    <w:name w:val="xl31"/>
    <w:basedOn w:val="1"/>
    <w:qFormat/>
    <w:uiPriority w:val="0"/>
    <w:pPr>
      <w:widowControl/>
      <w:spacing w:before="100" w:beforeAutospacing="1" w:after="100" w:afterAutospacing="1"/>
      <w:jc w:val="center"/>
    </w:pPr>
    <w:rPr>
      <w:b/>
      <w:bCs/>
      <w:kern w:val="0"/>
      <w:sz w:val="28"/>
      <w:szCs w:val="28"/>
    </w:rPr>
  </w:style>
  <w:style w:type="paragraph" w:customStyle="1" w:styleId="28">
    <w:name w:val="D&amp;L"/>
    <w:basedOn w:val="14"/>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9">
    <w:name w:val="页眉 Char"/>
    <w:basedOn w:val="22"/>
    <w:link w:val="14"/>
    <w:qFormat/>
    <w:uiPriority w:val="0"/>
    <w:rPr>
      <w:rFonts w:ascii="@仿宋_GB2312" w:hAnsi="@仿宋_GB2312" w:eastAsia="@仿宋_GB2312" w:cs="@仿宋_GB2312"/>
      <w:sz w:val="18"/>
      <w:szCs w:val="18"/>
    </w:rPr>
  </w:style>
  <w:style w:type="character" w:customStyle="1" w:styleId="30">
    <w:name w:val="页脚 Char"/>
    <w:basedOn w:val="22"/>
    <w:link w:val="13"/>
    <w:qFormat/>
    <w:uiPriority w:val="99"/>
    <w:rPr>
      <w:rFonts w:ascii="@仿宋_GB2312" w:hAnsi="@仿宋_GB2312" w:eastAsia="@仿宋_GB2312" w:cs="@仿宋_GB2312"/>
      <w:sz w:val="18"/>
      <w:szCs w:val="18"/>
    </w:rPr>
  </w:style>
  <w:style w:type="character" w:customStyle="1" w:styleId="31">
    <w:name w:val="纯文本 Char"/>
    <w:link w:val="10"/>
    <w:qFormat/>
    <w:uiPriority w:val="0"/>
    <w:rPr>
      <w:rFonts w:ascii="宋体" w:hAnsi="Courier New"/>
    </w:rPr>
  </w:style>
  <w:style w:type="character" w:customStyle="1" w:styleId="32">
    <w:name w:val="纯文本 字符1"/>
    <w:basedOn w:val="22"/>
    <w:semiHidden/>
    <w:qFormat/>
    <w:uiPriority w:val="99"/>
    <w:rPr>
      <w:rFonts w:hAnsi="Courier New" w:cs="Courier New" w:asciiTheme="minorEastAsia"/>
      <w:szCs w:val="20"/>
    </w:rPr>
  </w:style>
  <w:style w:type="character" w:customStyle="1" w:styleId="33">
    <w:name w:val="未处理的提及1"/>
    <w:basedOn w:val="22"/>
    <w:semiHidden/>
    <w:unhideWhenUsed/>
    <w:qFormat/>
    <w:uiPriority w:val="99"/>
    <w:rPr>
      <w:color w:val="605E5C"/>
      <w:shd w:val="clear" w:color="auto" w:fill="E1DFDD"/>
    </w:rPr>
  </w:style>
  <w:style w:type="paragraph" w:styleId="34">
    <w:name w:val="List Paragraph"/>
    <w:basedOn w:val="1"/>
    <w:qFormat/>
    <w:uiPriority w:val="34"/>
    <w:pPr>
      <w:ind w:firstLine="420" w:firstLineChars="200"/>
    </w:pPr>
  </w:style>
  <w:style w:type="paragraph" w:customStyle="1" w:styleId="35">
    <w:name w:val="Char Char Char Char Char Char Char1 Char"/>
    <w:basedOn w:val="1"/>
    <w:qFormat/>
    <w:uiPriority w:val="0"/>
    <w:rPr>
      <w:rFonts w:ascii="Arial" w:hAnsi="Arial" w:eastAsia="宋体" w:cs="Arial"/>
      <w:sz w:val="24"/>
    </w:rPr>
  </w:style>
  <w:style w:type="table" w:customStyle="1" w:styleId="36">
    <w:name w:val="网格表 1 浅色1"/>
    <w:basedOn w:val="20"/>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7">
    <w:name w:val="日期 字符"/>
    <w:basedOn w:val="22"/>
    <w:semiHidden/>
    <w:qFormat/>
    <w:uiPriority w:val="99"/>
    <w:rPr>
      <w:rFonts w:ascii="@仿宋_GB2312" w:hAnsi="@仿宋_GB2312" w:eastAsia="@仿宋_GB2312" w:cs="@仿宋_GB2312"/>
      <w:szCs w:val="20"/>
    </w:rPr>
  </w:style>
  <w:style w:type="character" w:customStyle="1" w:styleId="38">
    <w:name w:val="日期 Char"/>
    <w:link w:val="11"/>
    <w:qFormat/>
    <w:uiPriority w:val="0"/>
    <w:rPr>
      <w:rFonts w:ascii="Arial" w:hAnsi="Arial" w:eastAsia="宋体" w:cs="Arial"/>
      <w:b/>
      <w:sz w:val="28"/>
      <w:szCs w:val="20"/>
    </w:rPr>
  </w:style>
  <w:style w:type="character" w:customStyle="1" w:styleId="39">
    <w:name w:val="纯文本 Char1"/>
    <w:link w:val="40"/>
    <w:qFormat/>
    <w:locked/>
    <w:uiPriority w:val="0"/>
    <w:rPr>
      <w:rFonts w:ascii="Arial" w:hAnsi="Arial" w:eastAsia="Arial"/>
      <w:kern w:val="2"/>
      <w:sz w:val="21"/>
      <w:lang w:val="en-US" w:eastAsia="zh-CN" w:bidi="ar-SA"/>
    </w:rPr>
  </w:style>
  <w:style w:type="paragraph" w:customStyle="1" w:styleId="40">
    <w:name w:val="纯文本1"/>
    <w:basedOn w:val="1"/>
    <w:link w:val="39"/>
    <w:qFormat/>
    <w:uiPriority w:val="0"/>
    <w:rPr>
      <w:rFonts w:ascii="Arial" w:hAnsi="Arial" w:eastAsia="Arial" w:cstheme="minorBidi"/>
      <w:szCs w:val="22"/>
    </w:rPr>
  </w:style>
  <w:style w:type="character" w:customStyle="1" w:styleId="41">
    <w:name w:val="批注文字 Char"/>
    <w:basedOn w:val="22"/>
    <w:semiHidden/>
    <w:qFormat/>
    <w:uiPriority w:val="99"/>
    <w:rPr>
      <w:rFonts w:ascii="@仿宋_GB2312" w:hAnsi="@仿宋_GB2312" w:eastAsia="@仿宋_GB2312" w:cs="@仿宋_GB2312"/>
      <w:szCs w:val="20"/>
    </w:rPr>
  </w:style>
  <w:style w:type="character" w:customStyle="1" w:styleId="42">
    <w:name w:val="批注文字 Char1"/>
    <w:link w:val="8"/>
    <w:qFormat/>
    <w:uiPriority w:val="0"/>
    <w:rPr>
      <w:rFonts w:ascii="Arial" w:hAnsi="Arial" w:eastAsia="黑体" w:cs="Arial"/>
      <w:szCs w:val="20"/>
    </w:rPr>
  </w:style>
  <w:style w:type="character" w:customStyle="1" w:styleId="43">
    <w:name w:val="标题 1 Char"/>
    <w:basedOn w:val="22"/>
    <w:link w:val="3"/>
    <w:qFormat/>
    <w:uiPriority w:val="9"/>
    <w:rPr>
      <w:rFonts w:ascii="@仿宋_GB2312" w:hAnsi="@仿宋_GB2312" w:eastAsia="@仿宋_GB2312" w:cs="@仿宋_GB2312"/>
      <w:b/>
      <w:bCs/>
      <w:kern w:val="44"/>
      <w:sz w:val="44"/>
      <w:szCs w:val="44"/>
    </w:rPr>
  </w:style>
  <w:style w:type="paragraph" w:customStyle="1" w:styleId="44">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5">
    <w:name w:val="标题 3 Char"/>
    <w:basedOn w:val="22"/>
    <w:link w:val="5"/>
    <w:semiHidden/>
    <w:qFormat/>
    <w:uiPriority w:val="9"/>
    <w:rPr>
      <w:rFonts w:ascii="@仿宋_GB2312" w:hAnsi="@仿宋_GB2312" w:eastAsia="@仿宋_GB2312" w:cs="@仿宋_GB2312"/>
      <w:b/>
      <w:bCs/>
      <w:sz w:val="32"/>
      <w:szCs w:val="32"/>
    </w:rPr>
  </w:style>
  <w:style w:type="character" w:customStyle="1" w:styleId="46">
    <w:name w:val="fontstyle01"/>
    <w:basedOn w:val="22"/>
    <w:qFormat/>
    <w:uiPriority w:val="0"/>
    <w:rPr>
      <w:rFonts w:hint="eastAsia" w:ascii="宋体" w:hAnsi="宋体" w:eastAsia="宋体"/>
      <w:color w:val="000000"/>
      <w:sz w:val="22"/>
      <w:szCs w:val="22"/>
    </w:rPr>
  </w:style>
  <w:style w:type="character" w:customStyle="1" w:styleId="47">
    <w:name w:val="fontstyle21"/>
    <w:basedOn w:val="22"/>
    <w:qFormat/>
    <w:uiPriority w:val="0"/>
    <w:rPr>
      <w:rFonts w:hint="default" w:ascii="TimesNewRomanPSMT" w:hAnsi="TimesNewRomanPSMT"/>
      <w:color w:val="000000"/>
      <w:sz w:val="22"/>
      <w:szCs w:val="22"/>
    </w:rPr>
  </w:style>
  <w:style w:type="character" w:customStyle="1" w:styleId="48">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49">
    <w:name w:val="标题 4 字符"/>
    <w:basedOn w:val="22"/>
    <w:semiHidden/>
    <w:qFormat/>
    <w:uiPriority w:val="9"/>
    <w:rPr>
      <w:rFonts w:asciiTheme="majorHAnsi" w:hAnsiTheme="majorHAnsi" w:eastAsiaTheme="majorEastAsia" w:cstheme="majorBidi"/>
      <w:b/>
      <w:bCs/>
      <w:sz w:val="28"/>
      <w:szCs w:val="28"/>
    </w:rPr>
  </w:style>
  <w:style w:type="character" w:customStyle="1" w:styleId="50">
    <w:name w:val="标题 4 Char"/>
    <w:link w:val="6"/>
    <w:qFormat/>
    <w:uiPriority w:val="0"/>
    <w:rPr>
      <w:rFonts w:ascii="@仿宋_GB2312" w:hAnsi="@仿宋_GB2312" w:eastAsia="@仿宋_GB2312" w:cs="@仿宋_GB2312"/>
      <w:b/>
      <w:bCs/>
      <w:sz w:val="28"/>
      <w:szCs w:val="28"/>
    </w:rPr>
  </w:style>
  <w:style w:type="table" w:customStyle="1" w:styleId="51">
    <w:name w:val="Table Normal"/>
    <w:semiHidden/>
    <w:unhideWhenUsed/>
    <w:qFormat/>
    <w:uiPriority w:val="0"/>
    <w:tblPr>
      <w:tblCellMar>
        <w:top w:w="0" w:type="dxa"/>
        <w:left w:w="0" w:type="dxa"/>
        <w:bottom w:w="0" w:type="dxa"/>
        <w:right w:w="0" w:type="dxa"/>
      </w:tblCellMar>
    </w:tblPr>
  </w:style>
  <w:style w:type="paragraph" w:customStyle="1" w:styleId="5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C43401-81E2-418A-B418-7EF80B2E493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56</Pages>
  <Words>23980</Words>
  <Characters>24875</Characters>
  <Lines>205</Lines>
  <Paragraphs>57</Paragraphs>
  <TotalTime>0</TotalTime>
  <ScaleCrop>false</ScaleCrop>
  <LinksUpToDate>false</LinksUpToDate>
  <CharactersWithSpaces>27137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2019-12-07T15:22:00Z</cp:lastPrinted>
  <dcterms:modified xsi:type="dcterms:W3CDTF">2024-03-13T07:42:58Z</dcterms:modified>
  <cp:revision>902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E651678D5E974D438EA281DD20D2C37B_13</vt:lpwstr>
  </property>
</Properties>
</file>